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03AD" w:rsidRPr="00E843D0" w:rsidRDefault="003103AD" w:rsidP="003103AD">
      <w:pPr>
        <w:spacing w:line="360" w:lineRule="auto"/>
        <w:ind w:firstLine="720"/>
        <w:rPr>
          <w:rFonts w:ascii="Arial" w:hAnsi="Arial" w:cs="Arial"/>
          <w:b/>
        </w:rPr>
      </w:pPr>
      <w:r w:rsidRPr="00E843D0">
        <w:rPr>
          <w:rFonts w:ascii="Arial" w:hAnsi="Arial" w:cs="Arial"/>
          <w:b/>
        </w:rPr>
        <w:t>Appendix</w:t>
      </w:r>
    </w:p>
    <w:p w:rsidR="001C15A7" w:rsidRPr="00E843D0" w:rsidRDefault="002B5489" w:rsidP="00DF6CF8">
      <w:pPr>
        <w:spacing w:line="360" w:lineRule="auto"/>
        <w:rPr>
          <w:rFonts w:ascii="Arial" w:hAnsi="Arial" w:cs="Arial"/>
        </w:rPr>
      </w:pPr>
      <w:r w:rsidRPr="00E843D0">
        <w:rPr>
          <w:rFonts w:ascii="Arial" w:hAnsi="Arial" w:cs="Arial"/>
        </w:rPr>
        <w:t xml:space="preserve">Table </w:t>
      </w:r>
      <w:r w:rsidR="003B09A8">
        <w:rPr>
          <w:rFonts w:ascii="Arial" w:hAnsi="Arial" w:cs="Arial"/>
        </w:rPr>
        <w:t>A</w:t>
      </w:r>
      <w:r w:rsidRPr="00E843D0">
        <w:rPr>
          <w:rFonts w:ascii="Arial" w:hAnsi="Arial" w:cs="Arial"/>
        </w:rPr>
        <w:t xml:space="preserve">. </w:t>
      </w:r>
      <w:r w:rsidR="001A452C" w:rsidRPr="00E843D0">
        <w:rPr>
          <w:rFonts w:ascii="Arial" w:hAnsi="Arial" w:cs="Arial"/>
        </w:rPr>
        <w:t xml:space="preserve">Required values for the theoretical models and the resulting interfacial energies “by wetting angle”, “by van der Waals energies” and “according </w:t>
      </w:r>
      <w:r w:rsidR="00C7085B" w:rsidRPr="00E843D0">
        <w:rPr>
          <w:rFonts w:ascii="Arial" w:hAnsi="Arial" w:cs="Arial"/>
        </w:rPr>
        <w:t xml:space="preserve">to the </w:t>
      </w:r>
      <w:r w:rsidR="003B09A8">
        <w:rPr>
          <w:rFonts w:ascii="Arial" w:hAnsi="Arial" w:cs="Arial"/>
        </w:rPr>
        <w:t xml:space="preserve">R. H. </w:t>
      </w:r>
      <w:r w:rsidR="00C7085B" w:rsidRPr="00E843D0">
        <w:rPr>
          <w:rFonts w:ascii="Arial" w:hAnsi="Arial" w:cs="Arial"/>
        </w:rPr>
        <w:t>E</w:t>
      </w:r>
      <w:r w:rsidR="001A452C" w:rsidRPr="00E843D0">
        <w:rPr>
          <w:rFonts w:ascii="Arial" w:hAnsi="Arial" w:cs="Arial"/>
        </w:rPr>
        <w:t>wing”.</w:t>
      </w:r>
      <w:bookmarkStart w:id="0" w:name="_GoBack"/>
      <w:bookmarkEnd w:id="0"/>
    </w:p>
    <w:tbl>
      <w:tblPr>
        <w:tblStyle w:val="Gitternetztabelle1hellAkzent3"/>
        <w:tblpPr w:leftFromText="180" w:rightFromText="180" w:vertAnchor="page" w:horzAnchor="margin" w:tblpY="3211"/>
        <w:tblW w:w="0" w:type="auto"/>
        <w:tblLayout w:type="fixed"/>
        <w:tblLook w:val="04A0" w:firstRow="1" w:lastRow="0" w:firstColumn="1" w:lastColumn="0" w:noHBand="0" w:noVBand="1"/>
      </w:tblPr>
      <w:tblGrid>
        <w:gridCol w:w="2023"/>
        <w:gridCol w:w="1091"/>
        <w:gridCol w:w="1077"/>
        <w:gridCol w:w="12"/>
        <w:gridCol w:w="1247"/>
        <w:gridCol w:w="11"/>
        <w:gridCol w:w="1055"/>
        <w:gridCol w:w="1259"/>
        <w:gridCol w:w="12"/>
        <w:gridCol w:w="1264"/>
        <w:gridCol w:w="11"/>
      </w:tblGrid>
      <w:tr w:rsidR="00E843D0" w:rsidTr="003B09A8">
        <w:trPr>
          <w:gridAfter w:val="1"/>
          <w:cnfStyle w:val="100000000000" w:firstRow="1" w:lastRow="0" w:firstColumn="0" w:lastColumn="0" w:oddVBand="0" w:evenVBand="0" w:oddHBand="0" w:evenHBand="0" w:firstRowFirstColumn="0" w:firstRowLastColumn="0" w:lastRowFirstColumn="0" w:lastRowLastColumn="0"/>
          <w:wAfter w:w="11" w:type="dxa"/>
        </w:trPr>
        <w:tc>
          <w:tcPr>
            <w:cnfStyle w:val="001000000000" w:firstRow="0" w:lastRow="0" w:firstColumn="1" w:lastColumn="0" w:oddVBand="0" w:evenVBand="0" w:oddHBand="0" w:evenHBand="0" w:firstRowFirstColumn="0" w:firstRowLastColumn="0" w:lastRowFirstColumn="0" w:lastRowLastColumn="0"/>
            <w:tcW w:w="2023" w:type="dxa"/>
          </w:tcPr>
          <w:p w:rsidR="001A452C" w:rsidRPr="00CE57C6" w:rsidRDefault="001A452C" w:rsidP="003103AD">
            <w:pPr>
              <w:jc w:val="both"/>
              <w:rPr>
                <w:rFonts w:eastAsiaTheme="minorEastAsia" w:cstheme="minorHAnsi"/>
                <w:highlight w:val="darkGray"/>
              </w:rPr>
            </w:pPr>
          </w:p>
        </w:tc>
        <w:tc>
          <w:tcPr>
            <w:tcW w:w="3427" w:type="dxa"/>
            <w:gridSpan w:val="4"/>
          </w:tcPr>
          <w:p w:rsidR="001A452C" w:rsidRPr="00041DCF" w:rsidRDefault="001A452C" w:rsidP="003103AD">
            <w:pPr>
              <w:jc w:val="center"/>
              <w:cnfStyle w:val="100000000000" w:firstRow="1" w:lastRow="0" w:firstColumn="0" w:lastColumn="0" w:oddVBand="0" w:evenVBand="0" w:oddHBand="0" w:evenHBand="0" w:firstRowFirstColumn="0" w:firstRowLastColumn="0" w:lastRowFirstColumn="0" w:lastRowLastColumn="0"/>
              <w:rPr>
                <w:rFonts w:eastAsiaTheme="minorEastAsia" w:cstheme="minorHAnsi"/>
                <w:b w:val="0"/>
              </w:rPr>
            </w:pPr>
            <w:r w:rsidRPr="00041DCF">
              <w:rPr>
                <w:rFonts w:eastAsiaTheme="minorEastAsia" w:cstheme="minorHAnsi"/>
              </w:rPr>
              <w:t>RT</w:t>
            </w:r>
            <w:r>
              <w:rPr>
                <w:rFonts w:eastAsiaTheme="minorEastAsia" w:cstheme="minorHAnsi"/>
              </w:rPr>
              <w:t xml:space="preserve"> (25°C)</w:t>
            </w:r>
          </w:p>
        </w:tc>
        <w:tc>
          <w:tcPr>
            <w:tcW w:w="3601" w:type="dxa"/>
            <w:gridSpan w:val="5"/>
          </w:tcPr>
          <w:p w:rsidR="001A452C" w:rsidRPr="00041DCF" w:rsidRDefault="001A452C" w:rsidP="003103AD">
            <w:pPr>
              <w:jc w:val="center"/>
              <w:cnfStyle w:val="100000000000" w:firstRow="1" w:lastRow="0" w:firstColumn="0" w:lastColumn="0" w:oddVBand="0" w:evenVBand="0" w:oddHBand="0" w:evenHBand="0" w:firstRowFirstColumn="0" w:firstRowLastColumn="0" w:lastRowFirstColumn="0" w:lastRowLastColumn="0"/>
              <w:rPr>
                <w:rFonts w:eastAsiaTheme="minorEastAsia" w:cstheme="minorHAnsi"/>
                <w:b w:val="0"/>
              </w:rPr>
            </w:pPr>
            <w:r w:rsidRPr="00041DCF">
              <w:rPr>
                <w:rFonts w:eastAsiaTheme="minorEastAsia" w:cstheme="minorHAnsi"/>
              </w:rPr>
              <w:t>400°C</w:t>
            </w:r>
          </w:p>
        </w:tc>
      </w:tr>
      <w:tr w:rsidR="003B09A8" w:rsidTr="003B09A8">
        <w:tc>
          <w:tcPr>
            <w:cnfStyle w:val="001000000000" w:firstRow="0" w:lastRow="0" w:firstColumn="1" w:lastColumn="0" w:oddVBand="0" w:evenVBand="0" w:oddHBand="0" w:evenHBand="0" w:firstRowFirstColumn="0" w:firstRowLastColumn="0" w:lastRowFirstColumn="0" w:lastRowLastColumn="0"/>
            <w:tcW w:w="2023" w:type="dxa"/>
          </w:tcPr>
          <w:p w:rsidR="001A452C" w:rsidRPr="00041DCF" w:rsidRDefault="001A452C" w:rsidP="003103AD">
            <w:pPr>
              <w:jc w:val="both"/>
              <w:rPr>
                <w:rFonts w:eastAsiaTheme="minorEastAsia" w:cstheme="minorHAnsi"/>
                <w:highlight w:val="darkGray"/>
              </w:rPr>
            </w:pPr>
          </w:p>
        </w:tc>
        <w:tc>
          <w:tcPr>
            <w:tcW w:w="1091" w:type="dxa"/>
          </w:tcPr>
          <w:p w:rsidR="001A452C" w:rsidRPr="00041DCF"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041DCF">
              <w:rPr>
                <w:rFonts w:eastAsiaTheme="minorEastAsia" w:cstheme="minorHAnsi"/>
                <w:b/>
              </w:rPr>
              <w:t>Silicon oxide</w:t>
            </w:r>
          </w:p>
        </w:tc>
        <w:tc>
          <w:tcPr>
            <w:tcW w:w="1089" w:type="dxa"/>
            <w:gridSpan w:val="2"/>
          </w:tcPr>
          <w:p w:rsidR="001A452C" w:rsidRPr="00041DCF"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041DCF">
              <w:rPr>
                <w:rFonts w:eastAsiaTheme="minorEastAsia" w:cstheme="minorHAnsi"/>
                <w:b/>
              </w:rPr>
              <w:t>Gold</w:t>
            </w:r>
          </w:p>
        </w:tc>
        <w:tc>
          <w:tcPr>
            <w:tcW w:w="1258" w:type="dxa"/>
            <w:gridSpan w:val="2"/>
          </w:tcPr>
          <w:p w:rsidR="001A452C" w:rsidRPr="00041DCF"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041DCF">
              <w:rPr>
                <w:rFonts w:eastAsiaTheme="minorEastAsia" w:cstheme="minorHAnsi"/>
                <w:b/>
              </w:rPr>
              <w:t>Silicon</w:t>
            </w:r>
          </w:p>
        </w:tc>
        <w:tc>
          <w:tcPr>
            <w:tcW w:w="1055" w:type="dxa"/>
          </w:tcPr>
          <w:p w:rsidR="001A452C" w:rsidRPr="00041DCF"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041DCF">
              <w:rPr>
                <w:rFonts w:eastAsiaTheme="minorEastAsia" w:cstheme="minorHAnsi"/>
                <w:b/>
              </w:rPr>
              <w:t>Silicon oxide</w:t>
            </w:r>
          </w:p>
        </w:tc>
        <w:tc>
          <w:tcPr>
            <w:tcW w:w="1271" w:type="dxa"/>
            <w:gridSpan w:val="2"/>
          </w:tcPr>
          <w:p w:rsidR="001A452C" w:rsidRPr="00041DCF"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041DCF">
              <w:rPr>
                <w:rFonts w:eastAsiaTheme="minorEastAsia" w:cstheme="minorHAnsi"/>
                <w:b/>
              </w:rPr>
              <w:t>Gold</w:t>
            </w:r>
          </w:p>
        </w:tc>
        <w:tc>
          <w:tcPr>
            <w:tcW w:w="1275" w:type="dxa"/>
            <w:gridSpan w:val="2"/>
          </w:tcPr>
          <w:p w:rsidR="001A452C" w:rsidRPr="00041DCF"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041DCF">
              <w:rPr>
                <w:rFonts w:eastAsiaTheme="minorEastAsia" w:cstheme="minorHAnsi"/>
                <w:b/>
              </w:rPr>
              <w:t>Silicon</w:t>
            </w:r>
          </w:p>
        </w:tc>
      </w:tr>
      <w:tr w:rsidR="003B09A8" w:rsidRPr="00FB0F08" w:rsidTr="003B09A8">
        <w:trPr>
          <w:gridAfter w:val="1"/>
          <w:wAfter w:w="11" w:type="dxa"/>
        </w:trPr>
        <w:tc>
          <w:tcPr>
            <w:cnfStyle w:val="001000000000" w:firstRow="0" w:lastRow="0" w:firstColumn="1" w:lastColumn="0" w:oddVBand="0" w:evenVBand="0" w:oddHBand="0" w:evenHBand="0" w:firstRowFirstColumn="0" w:firstRowLastColumn="0" w:lastRowFirstColumn="0" w:lastRowLastColumn="0"/>
            <w:tcW w:w="2023" w:type="dxa"/>
            <w:vMerge w:val="restart"/>
          </w:tcPr>
          <w:p w:rsidR="00A11B18" w:rsidRPr="00215624" w:rsidRDefault="00A11B18" w:rsidP="003B09A8">
            <w:pPr>
              <w:jc w:val="center"/>
              <w:rPr>
                <w:rFonts w:eastAsiaTheme="minorEastAsia" w:cstheme="minorHAnsi"/>
                <w:b w:val="0"/>
              </w:rPr>
            </w:pPr>
            <w:r w:rsidRPr="00215624">
              <w:rPr>
                <w:rFonts w:eastAsiaTheme="minorEastAsia" w:cstheme="minorHAnsi"/>
              </w:rPr>
              <w:t>Hamaker constant Aij [</w:t>
            </w:r>
            <w:r w:rsidRPr="00105F1C">
              <w:rPr>
                <w:rFonts w:eastAsiaTheme="minorEastAsia" w:cstheme="minorHAnsi"/>
              </w:rPr>
              <w:t>10</w:t>
            </w:r>
            <w:r w:rsidRPr="00105F1C">
              <w:rPr>
                <w:rFonts w:eastAsiaTheme="minorEastAsia" w:cstheme="minorHAnsi"/>
                <w:vertAlign w:val="superscript"/>
              </w:rPr>
              <w:t>-19</w:t>
            </w:r>
            <w:r>
              <w:rPr>
                <w:rFonts w:eastAsiaTheme="minorEastAsia" w:cstheme="minorHAnsi"/>
              </w:rPr>
              <w:t xml:space="preserve"> </w:t>
            </w:r>
            <w:r w:rsidRPr="00215624">
              <w:rPr>
                <w:rFonts w:eastAsiaTheme="minorEastAsia" w:cstheme="minorHAnsi"/>
              </w:rPr>
              <w:t>J]</w:t>
            </w:r>
            <w:r w:rsidR="00C7085B">
              <w:rPr>
                <w:rFonts w:eastAsiaTheme="minorEastAsia" w:cstheme="minorHAnsi"/>
              </w:rPr>
              <w:fldChar w:fldCharType="begin" w:fldLock="1"/>
            </w:r>
            <w:r w:rsidR="003B09A8">
              <w:rPr>
                <w:rFonts w:eastAsiaTheme="minorEastAsia" w:cstheme="minorHAnsi"/>
              </w:rPr>
              <w:instrText>ADDIN CSL_CITATION {"citationItems":[{"id":"ITEM-1","itemData":{"DOI":"10.1016/0001-8686(67)80004-6","ISSN":"00018686","author":[{"dropping-particle":"","family":"Krupp","given":"H.","non-dropping-particle":"","parse-names":false,"suffix":""}],"container-title":"Advances in Colloid and Interface Science","id":"ITEM-1","issue":"2","issued":{"date-parts":[["1967","5","1"]]},"page":"111-239","publisher":"Elsevier","title":"Particle adhesion theory and experiment","type":"article-journal","volume":"1"},"uris":["http://www.mendeley.com/documents/?uuid=50b5b216-a4b8-3204-ad9e-e888117d861a"]},{"id":"ITEM-2","itemData":{"DOI":"10.1016/0001-8686(72)85001-2","ISSN":"0001-8686","abstract":"A review is given of equations from which Hamaker constants can be calculated theoretically for condensed bodies at short distances. Numerical examples obtained from these equations plus Hamaker constants as obtained from colloid chemistry are compared to the Lifshitz-van der Waals constants obtained from the optical properties of condensed bodles over a frequency range from visible light to the X-ray region. The latter constant is regarded as the more correct since only minor assumptions have been made in its derivation. It is shown that the various approximations lead to a large scatter in Hamaker constants. Only for a few expressions are data obtained that agree reasonably well with the Lifshitz-van der Waals constant of the same material. For those materials where no complete absorption spectra are available, these approximated expressions can be used for calculation of their Hamaker constant to a first approximation. Further, a new approximation for the calculation of Hamaker constants for polymers has been introduced. The influence of a third medium on the interaction between two materials is discussed and the occurrence of negative Hamaker constants for the interaction between three different materials is demonstrated.","author":[{"dropping-particle":"","family":"Visser","given":"J.","non-dropping-particle":"","parse-names":false,"suffix":""}],"container-title":"Advances in Colloid and Interface Science","id":"ITEM-2","issue":"4","issued":{"date-parts":[["1972","12","1"]]},"page":"331-363","publisher":"Elsevier","title":"On Hamaker constants: A comparison between Hamaker constants and Lifshitz-van der Waals constants","type":"article-journal","volume":"3"},"uris":["http://www.mendeley.com/documents/?uuid=82ff5908-b036-34dd-b24f-e5871fbb5405"]},{"id":"ITEM-3","itemData":{"author":[{"dropping-particle":"","family":"Schwerdtfeger","given":"Peter","non-dropping-particle":"","parse-names":false,"suffix":""}],"container-title":"Centre for Theoretical Chemistry and Physics, Massey University","id":"ITEM-3","issued":{"date-parts":[["2015"]]},"title":"Table of experimental and calculated static dipole polarizabilities for the electronic ground states of the neutral elements (in atomic units)","type":"article-journal"},"uris":["http://www.mendeley.com/documents/?uuid=b168964a-5b11-46f7-8e1d-c1c7446422ad"]},{"id":"ITEM-4","itemData":{"DOI":"10.1007/BF03397439","ISSN":"1543-1851","abstract":"Using a modified Udin, Shaler, and Wulff technique, the surface tension of gold in purified helium was found to be 1400 ± 65 dynes per cm for the temperature range 1017° to 1042°C.","author":[{"dropping-particle":"","family":"Buttner","given":"F H","non-dropping-particle":"","parse-names":false,"suffix":""},{"dropping-particle":"","family":"Udin","given":"H","non-dropping-particle":"","parse-names":false,"suffix":""},{"dropping-particle":"","family":"Wulff","given":"J","non-dropping-particle":"","parse-names":false,"suffix":""}],"container-title":"JOM","id":"ITEM-4","issue":"12","issued":{"date-parts":[["1951"]]},"page":"1209-1211","title":"Surface Tension of Solid Gold","type":"article-journal","volume":"3"},"uris":["http://www.mendeley.com/documents/?uuid=c3dffe79-8187-4958-8412-272508a68c12"]},{"id":"ITEM-5","itemData":{"DOI":"10.1007/BF03214876","ISSN":"2190-7579","abstract":"Electrostatic levitation together with multi-beam laser heating and ultraviolet imaging made possible to handle a sample of liquid gold, without any contamination, and to determine its density over a large temperature range. Over the 1337–1800 K interval, the density of Au was measured as ρ(T)=1.74× 104−1.44 (T−Tm) kg·m−3, where Tm, the melting temperature, was 1337 K. These data yield a calculated volume expansion coefficient of 8.3×10−5 K−1. The values agree well with the literature values.","author":[{"dropping-particle":"","family":"Paradisa","given":"P F","non-dropping-particle":"","parse-names":false,"suffix":""},{"dropping-particle":"","family":"Ishikawaa","given":"T","non-dropping-particle":"","parse-names":false,"suffix":""},{"dropping-particle":"","family":"Koikeb","given":"N","non-dropping-particle":"","parse-names":false,"suffix":""}],"container-title":"Gold Bulletin","id":"ITEM-5","issue":"3","issued":{"date-parts":[["2008"]]},"page":"242-245","title":"Density of liquid gold measured by a non-contact technique","type":"article-journal","volume":"41"},"uris":["http://www.mendeley.com/documents/?uuid=549a0395-9675-4ffd-ac39-6186eedbe429"]},{"id":"ITEM-6","itemData":{"DOI":"10.1063/1.1388861","ISSN":"0021-8979","author":[{"dropping-particle":"","family":"Kim","given":"Jin Yong","non-dropping-particle":"","parse-names":false,"suffix":""},{"dropping-particle":"","family":"Hwang","given":"Moo Sung","non-dropping-particle":"","parse-names":false,"suffix":""},{"dropping-particle":"","family":"Kim","given":"Yoon-Hae","non-dropping-particle":"","parse-names":false,"suffix":""},{"dropping-particle":"","family":"Kim","given":"Hyeong Joon","non-dropping-particle":"","parse-names":false,"suffix":""},{"dropping-particle":"","family":"Lee","given":"Young","non-dropping-particle":"","parse-names":false,"suffix":""}],"container-title":"Journal of Applied Physics","id":"ITEM-6","issue":"5","issued":{"date-parts":[["2001","8","23"]]},"note":"doi: 10.1063/1.1388861","page":"2469-2473","publisher":"American Institute of Physics","title":"Origin of low dielectric constant of carbon-incorporated silicon oxide film deposited by plasma enhanced chemical vapor deposition","type":"article-journal","volume":"90"},"uris":["http://www.mendeley.com/documents/?uuid=d9ff0ac7-e330-42b1-a5af-8d4e3a3a775d"]},{"id":"ITEM-7","itemData":{"DOI":"10.1109/TIM.2007.890629","ISSN":"0018-9456 VO  - 56","author":[{"dropping-particle":"","family":"Bettin","given":"H","non-dropping-particle":"","parse-names":false,"suffix":""},{"dropping-particle":"","family":"Toth","given":"H","non-dropping-particle":"","parse-names":false,"suffix":""}],"container-title":"IEEE Transactions on Instrumentation and Measurement","id":"ITEM-7","issue":"2","issued":{"date-parts":[["2007"]]},"page":"257-261","title":"Density Determination of a Small Isotopically Enriched Silicon Single Crystal","type":"article-journal","volume":"56"},"uris":["http://www.mendeley.com/documents/?uuid=a8a8167b-b57a-42d0-8adf-9274528e69fa"]},{"id":"ITEM-8","itemData":{"DOI":"10.1063/1.466748","ISSN":"0021-9606","author":[{"dropping-particle":"","family":"Biggs","given":"Simon","non-dropping-particle":"","parse-names":false,"suffix":""},{"dropping-particle":"","family":"Mulvaney","given":"Paul","non-dropping-particle":"","parse-names":false,"suffix":""}],"container-title":"The Journal of Chemical Physics","id":"ITEM-8","issue":"11","issued":{"date-parts":[["1994","6","1"]]},"note":"doi: 10.1063/1.466748","page":"8501-8505","publisher":"American Institute of Physics","title":"Measurement of the forces between gold surfaces in water by atomic force microscopy","type":"article-journal","volume":"100"},"uris":["http://www.mendeley.com/documents/?uuid=f789d640-d7ac-43cd-a8c4-9bf9df964650"]},{"id":"ITEM-9","itemData":{"DOI":"10.1016/S0001-8686(97)00003-1","ISSN":"0001-8686","abstract":"Calculations of Hamaker constants using Lifshitz theory require the availability of accurate dielectric data, especially in the ultraviolet spectral region, and the use of a convenient and appropriate mathematical representation. In this review, a multiple oscillator model — the so-called Ninham-Parsegian (N-P) representation — has been used and spectral parameters for 31 different inorganic materials (including diamond) have been generated from critically evaluated optical data or collected from the literature. For most materials, a two-oscillator model (one UV and one IR term) was used but more detailed representations were included when available. The spectral parameters presented here can be combined with previous data, mainly focused on hydrocarbon and organic systems, to yield an extensive spectral data base for both solids and liquids enabling Lifshitz calculations of Hamaker constants for many materials combinations. Non-retarded Hamaker constants for symmetric material combinations across vacuum (A1v1) and water (A1w1) have been calculated for the different materials; these calculations were performed using the full Lifshitz theory. Asymmetric combinations, A1v3 and A1w3, against four commonly used materials in atomic force microscopy studies: silica, amorphous silicon nitride, sapphire, and muscovite mica, have also been covered. The use of a new dielectric representation for water resulted in significantly lower values of A1w1 compared to previous calculations. Analytical approximations to the full Lifshitz theory were evaluated and found to give surprisingly accurate results (the Tabor-Winterton approximation) for A1v1 when the IR contribution is of minor importance. An attempt to make the TW approximation more general by establishing some scaling relationship between n0 and ωUV was met with little success; only the UV spectral parameters of the covalent oxides, sulphides and nitrides may be fitted to a simple power law relation. The Lifshitz calculations in this study were compared with an alternative method where a more detailed dielectric representation in the visible-ultraviolet spectral range was obtained through Kramers-Kronig (K-K) transformation of reflectivity data over a broad frequency range. Despite the difference in dielectric information, the two methods generally yield non-retarded Hamaker constants which do not differ significantly. This is not true for all materials, e.g. water, where a more detailed representation using eit…","author":[{"dropping-particle":"","family":"Bergström","given":"Lennart","non-dropping-particle":"","parse-names":false,"suffix":""}],"container-title":"Advances in Colloid and Interface Science","id":"ITEM-9","issued":{"date-parts":[["1997","7","18"]]},"page":"125-169","publisher":"Elsevier","title":"Hamaker constants of inorganic materials","type":"article-journal","volume":"70"},"uris":["http://www.mendeley.com/documents/?uuid=34cce74c-086f-34c4-8f08-f1e237b1da80"]}],"mendeley":{"formattedCitation":"&lt;span style=\"baseline\"&gt;[1–9]&lt;/span&gt;","plainTextFormattedCitation":"[1–9]","previouslyFormattedCitation":"&lt;sup&gt;1–9&lt;/sup&gt;"},"properties":{"noteIndex":0},"schema":"https://github.com/citation-style-language/schema/raw/master/csl-citation.json"}</w:instrText>
            </w:r>
            <w:r w:rsidR="00C7085B">
              <w:rPr>
                <w:rFonts w:eastAsiaTheme="minorEastAsia" w:cstheme="minorHAnsi"/>
              </w:rPr>
              <w:fldChar w:fldCharType="separate"/>
            </w:r>
            <w:r w:rsidR="003B09A8" w:rsidRPr="003B09A8">
              <w:rPr>
                <w:rFonts w:eastAsiaTheme="minorEastAsia" w:cstheme="minorHAnsi"/>
                <w:b w:val="0"/>
                <w:noProof/>
              </w:rPr>
              <w:t>[1–9]</w:t>
            </w:r>
            <w:r w:rsidR="00C7085B">
              <w:rPr>
                <w:rFonts w:eastAsiaTheme="minorEastAsia" w:cstheme="minorHAnsi"/>
              </w:rPr>
              <w:fldChar w:fldCharType="end"/>
            </w:r>
          </w:p>
        </w:tc>
        <w:tc>
          <w:tcPr>
            <w:tcW w:w="2168" w:type="dxa"/>
            <w:gridSpan w:val="2"/>
          </w:tcPr>
          <w:p w:rsidR="00A11B18" w:rsidRPr="00250F4E"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3.08 – 9.96</w:t>
            </w:r>
          </w:p>
        </w:tc>
        <w:tc>
          <w:tcPr>
            <w:tcW w:w="1259" w:type="dxa"/>
            <w:gridSpan w:val="2"/>
          </w:tcPr>
          <w:p w:rsidR="00A11B18" w:rsidRPr="00250F4E" w:rsidRDefault="00A11B18" w:rsidP="003103AD">
            <w:pPr>
              <w:jc w:val="both"/>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25" w:type="dxa"/>
            <w:gridSpan w:val="3"/>
          </w:tcPr>
          <w:p w:rsidR="00A11B18" w:rsidRPr="00250F4E"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3.08 – 9.96</w:t>
            </w:r>
          </w:p>
        </w:tc>
        <w:tc>
          <w:tcPr>
            <w:tcW w:w="1276" w:type="dxa"/>
            <w:gridSpan w:val="2"/>
          </w:tcPr>
          <w:p w:rsidR="00A11B18" w:rsidRPr="00250F4E" w:rsidRDefault="00A11B18" w:rsidP="003103AD">
            <w:pPr>
              <w:jc w:val="both"/>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r>
      <w:tr w:rsidR="003B09A8" w:rsidRPr="00105F1C" w:rsidTr="003B09A8">
        <w:tc>
          <w:tcPr>
            <w:cnfStyle w:val="001000000000" w:firstRow="0" w:lastRow="0" w:firstColumn="1" w:lastColumn="0" w:oddVBand="0" w:evenVBand="0" w:oddHBand="0" w:evenHBand="0" w:firstRowFirstColumn="0" w:firstRowLastColumn="0" w:lastRowFirstColumn="0" w:lastRowLastColumn="0"/>
            <w:tcW w:w="2023" w:type="dxa"/>
            <w:vMerge/>
          </w:tcPr>
          <w:p w:rsidR="00A11B18" w:rsidRPr="00FB0F08" w:rsidRDefault="00A11B18" w:rsidP="004B2781">
            <w:pPr>
              <w:jc w:val="center"/>
              <w:rPr>
                <w:rFonts w:eastAsiaTheme="minorEastAsia" w:cstheme="minorHAnsi"/>
                <w:b w:val="0"/>
              </w:rPr>
            </w:pPr>
          </w:p>
        </w:tc>
        <w:tc>
          <w:tcPr>
            <w:tcW w:w="1091" w:type="dxa"/>
          </w:tcPr>
          <w:p w:rsidR="00A11B18" w:rsidRPr="00FB0F08"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1089" w:type="dxa"/>
            <w:gridSpan w:val="2"/>
          </w:tcPr>
          <w:p w:rsidR="00A11B18" w:rsidRPr="00105F1C"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2.90 – 6.43</w:t>
            </w:r>
          </w:p>
        </w:tc>
        <w:tc>
          <w:tcPr>
            <w:tcW w:w="1258" w:type="dxa"/>
            <w:gridSpan w:val="2"/>
          </w:tcPr>
          <w:p w:rsidR="00A11B18" w:rsidRPr="00FB0F08"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1055" w:type="dxa"/>
          </w:tcPr>
          <w:p w:rsidR="00A11B18" w:rsidRPr="00105F1C"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1271" w:type="dxa"/>
            <w:gridSpan w:val="2"/>
          </w:tcPr>
          <w:p w:rsidR="00A11B18" w:rsidRPr="00105F1C" w:rsidRDefault="00A11B18" w:rsidP="003103AD">
            <w:pPr>
              <w:jc w:val="both"/>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2.90 – 6.43</w:t>
            </w:r>
          </w:p>
        </w:tc>
        <w:tc>
          <w:tcPr>
            <w:tcW w:w="1275" w:type="dxa"/>
            <w:gridSpan w:val="2"/>
          </w:tcPr>
          <w:p w:rsidR="00A11B18" w:rsidRPr="00105F1C" w:rsidRDefault="00A11B18" w:rsidP="003103AD">
            <w:pPr>
              <w:jc w:val="both"/>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r>
      <w:tr w:rsidR="003B09A8" w:rsidRPr="00105F1C" w:rsidTr="003B09A8">
        <w:tc>
          <w:tcPr>
            <w:cnfStyle w:val="001000000000" w:firstRow="0" w:lastRow="0" w:firstColumn="1" w:lastColumn="0" w:oddVBand="0" w:evenVBand="0" w:oddHBand="0" w:evenHBand="0" w:firstRowFirstColumn="0" w:firstRowLastColumn="0" w:lastRowFirstColumn="0" w:lastRowLastColumn="0"/>
            <w:tcW w:w="2023" w:type="dxa"/>
            <w:vMerge/>
          </w:tcPr>
          <w:p w:rsidR="00A11B18" w:rsidRPr="00105F1C" w:rsidRDefault="00A11B18" w:rsidP="004B2781">
            <w:pPr>
              <w:jc w:val="center"/>
              <w:rPr>
                <w:rFonts w:eastAsiaTheme="minorEastAsia" w:cstheme="minorHAnsi"/>
                <w:b w:val="0"/>
              </w:rPr>
            </w:pPr>
          </w:p>
        </w:tc>
        <w:tc>
          <w:tcPr>
            <w:tcW w:w="1091" w:type="dxa"/>
          </w:tcPr>
          <w:p w:rsidR="00A11B18" w:rsidRPr="00105F1C"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47" w:type="dxa"/>
            <w:gridSpan w:val="4"/>
          </w:tcPr>
          <w:p w:rsidR="00A11B18" w:rsidRPr="00A11B18"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2.81 – 5.29</w:t>
            </w:r>
          </w:p>
        </w:tc>
        <w:tc>
          <w:tcPr>
            <w:tcW w:w="1055" w:type="dxa"/>
          </w:tcPr>
          <w:p w:rsidR="00A11B18" w:rsidRPr="00105F1C"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546" w:type="dxa"/>
            <w:gridSpan w:val="4"/>
          </w:tcPr>
          <w:p w:rsidR="00A11B18" w:rsidRPr="00A11B18" w:rsidRDefault="00A11B18"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2.81 – 5.29</w:t>
            </w:r>
          </w:p>
        </w:tc>
      </w:tr>
      <w:tr w:rsidR="003B09A8" w:rsidRPr="00105F1C" w:rsidTr="003B09A8">
        <w:tc>
          <w:tcPr>
            <w:cnfStyle w:val="001000000000" w:firstRow="0" w:lastRow="0" w:firstColumn="1" w:lastColumn="0" w:oddVBand="0" w:evenVBand="0" w:oddHBand="0" w:evenHBand="0" w:firstRowFirstColumn="0" w:firstRowLastColumn="0" w:lastRowFirstColumn="0" w:lastRowLastColumn="0"/>
            <w:tcW w:w="2023" w:type="dxa"/>
          </w:tcPr>
          <w:p w:rsidR="001A452C" w:rsidRPr="00105F1C" w:rsidRDefault="001A452C" w:rsidP="004B2781">
            <w:pPr>
              <w:jc w:val="center"/>
              <w:rPr>
                <w:rFonts w:eastAsiaTheme="minorEastAsia" w:cstheme="minorHAnsi"/>
                <w:b w:val="0"/>
              </w:rPr>
            </w:pPr>
            <w:r w:rsidRPr="00105F1C">
              <w:rPr>
                <w:rFonts w:eastAsiaTheme="minorEastAsia" w:cstheme="minorHAnsi"/>
              </w:rPr>
              <w:t>Surface energy [J/m2]</w:t>
            </w:r>
          </w:p>
        </w:tc>
        <w:tc>
          <w:tcPr>
            <w:tcW w:w="1091" w:type="dxa"/>
          </w:tcPr>
          <w:p w:rsidR="001A452C" w:rsidRPr="001B668E"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1B668E">
              <w:rPr>
                <w:rFonts w:eastAsiaTheme="minorEastAsia" w:cstheme="minorHAnsi"/>
                <w:b/>
              </w:rPr>
              <w:t xml:space="preserve">0.01 </w:t>
            </w:r>
            <w:r>
              <w:rPr>
                <w:rFonts w:eastAsiaTheme="minorEastAsia" w:cstheme="minorHAnsi"/>
                <w:b/>
              </w:rPr>
              <w:fldChar w:fldCharType="begin" w:fldLock="1"/>
            </w:r>
            <w:r w:rsidR="003B09A8">
              <w:rPr>
                <w:rFonts w:eastAsiaTheme="minorEastAsia" w:cstheme="minorHAnsi"/>
                <w:b/>
              </w:rPr>
              <w:instrText>ADDIN CSL_CITATION {"citationItems":[{"id":"ITEM-1","itemData":{"DOI":"10.1016/J.TSF.2006.04.006","ISSN":"0040-6090","abstract":"In many fields and applications, a good knowledge of the wetting behaviour of solvents on a surface is crucial. Self-assembled monolayers (SAMs) have enabled improved control over surface properties, while more recent fields such as organic electronics gave rise to new applications and requirements regarding solvent–substrate interactions. However, most reported wettability studies are limited to practically less relevant solvents such as water, diiodomethane or hexadecane. Herein we report static contact angle measurements of various, typical SAM-modified surfaces, characterizing these surfaces' wettabilities over a wide range of practically relevant solvents. Surface energies, both the polar and the disperse component, of these SAM-modified surfaces are extracted with various methods from the contact angle data. Reliable methods for surface energy extraction, such as the Owens–Wendt–Rabel–Kaelble method and the method after Wu, yield values which could be expected from the chemical structure and nature of the self-assembled molecules and which correspond well to the few reported literature values. We also determined wetting envelopes for the various surfaces which allow easy prediction of the surfaces' wettability for a certain solvent and which ensure relevance for current and future solvents.","author":[{"dropping-particle":"","family":"Janssen","given":"Dimitri","non-dropping-particle":"","parse-names":false,"suffix":""},{"dropping-particle":"","family":"Palma","given":"Randy","non-dropping-particle":"De","parse-names":false,"suffix":""},{"dropping-particle":"","family":"Verlaak","given":"Stijn","non-dropping-particle":"","parse-names":false,"suffix":""},{"dropping-particle":"","family":"Heremans","given":"Paul","non-dropping-particle":"","parse-names":false,"suffix":""},{"dropping-particle":"","family":"Dehaen","given":"Wim","non-dropping-particle":"","parse-names":false,"suffix":""}],"container-title":"Thin Solid Films","id":"ITEM-1","issue":"4","issued":{"date-parts":[["2006","12","5"]]},"page":"1433-1438","publisher":"Elsevier","title":"Static solvent contact angle measurements, surface free energy and wettability determination of various self-assembled monolayers on silicon dioxide","type":"article-journal","volume":"515"},"uris":["http://www.mendeley.com/documents/?uuid=892550fa-f573-32ec-978c-d6f5bc8281d0"]}],"mendeley":{"formattedCitation":"&lt;span style=\"baseline\"&gt;[10]&lt;/span&gt;","plainTextFormattedCitation":"[10]","previouslyFormattedCitation":"&lt;sup&gt;10&lt;/sup&gt;"},"properties":{"noteIndex":0},"schema":"https://github.com/citation-style-language/schema/raw/master/csl-citation.json"}</w:instrText>
            </w:r>
            <w:r>
              <w:rPr>
                <w:rFonts w:eastAsiaTheme="minorEastAsia" w:cstheme="minorHAnsi"/>
                <w:b/>
              </w:rPr>
              <w:fldChar w:fldCharType="separate"/>
            </w:r>
            <w:r w:rsidR="003B09A8" w:rsidRPr="003B09A8">
              <w:rPr>
                <w:rFonts w:eastAsiaTheme="minorEastAsia" w:cstheme="minorHAnsi"/>
                <w:noProof/>
              </w:rPr>
              <w:t>[10]</w:t>
            </w:r>
            <w:r>
              <w:rPr>
                <w:rFonts w:eastAsiaTheme="minorEastAsia" w:cstheme="minorHAnsi"/>
                <w:b/>
              </w:rPr>
              <w:fldChar w:fldCharType="end"/>
            </w:r>
          </w:p>
        </w:tc>
        <w:tc>
          <w:tcPr>
            <w:tcW w:w="1089" w:type="dxa"/>
            <w:gridSpan w:val="2"/>
          </w:tcPr>
          <w:p w:rsidR="001A452C"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 xml:space="preserve">1.26 </w:t>
            </w:r>
            <w:r>
              <w:rPr>
                <w:rFonts w:eastAsiaTheme="minorEastAsia" w:cstheme="minorHAnsi"/>
                <w:b/>
              </w:rPr>
              <w:fldChar w:fldCharType="begin" w:fldLock="1"/>
            </w:r>
            <w:r w:rsidR="003B09A8">
              <w:rPr>
                <w:rFonts w:eastAsiaTheme="minorEastAsia" w:cstheme="minorHAnsi"/>
                <w:b/>
              </w:rPr>
              <w:instrText>ADDIN CSL_CITATION {"citationItems":[{"id":"ITEM-1","itemData":{"author":[{"dropping-particle":"","family":"Egry","given":"Ivan","non-dropping-particle":"","parse-names":false,"suffix":""},{"dropping-particle":"","family":"Lohoefer","given":"Georg","non-dropping-particle":"","parse-names":false,"suffix":""},{"dropping-particle":"","family":"Jacobs","given":"Gerd","non-dropping-particle":"","parse-names":false,"suffix":""}],"container-title":"Physical review letters","id":"ITEM-1","issue":"22","issued":{"date-parts":[["1995"]]},"page":"4043","publisher":"APS","title":"Surface tension of liquid metals: results from measurements on ground and in space","type":"article-journal","volume":"75"},"uris":["http://www.mendeley.com/documents/?uuid=8d156e81-0ead-4933-a3af-8388d98e98a6"]}],"mendeley":{"formattedCitation":"&lt;span style=\"baseline\"&gt;[11]&lt;/span&gt;","plainTextFormattedCitation":"[11]","previouslyFormattedCitation":"&lt;sup&gt;11&lt;/sup&gt;"},"properties":{"noteIndex":0},"schema":"https://github.com/citation-style-language/schema/raw/master/csl-citation.json"}</w:instrText>
            </w:r>
            <w:r>
              <w:rPr>
                <w:rFonts w:eastAsiaTheme="minorEastAsia" w:cstheme="minorHAnsi"/>
                <w:b/>
              </w:rPr>
              <w:fldChar w:fldCharType="separate"/>
            </w:r>
            <w:r w:rsidR="003B09A8" w:rsidRPr="003B09A8">
              <w:rPr>
                <w:rFonts w:eastAsiaTheme="minorEastAsia" w:cstheme="minorHAnsi"/>
                <w:noProof/>
              </w:rPr>
              <w:t>[11]</w:t>
            </w:r>
            <w:r>
              <w:rPr>
                <w:rFonts w:eastAsiaTheme="minorEastAsia" w:cstheme="minorHAnsi"/>
                <w:b/>
              </w:rPr>
              <w:fldChar w:fldCharType="end"/>
            </w:r>
          </w:p>
          <w:p w:rsidR="001A452C" w:rsidRPr="00105F1C"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1258" w:type="dxa"/>
            <w:gridSpan w:val="2"/>
          </w:tcPr>
          <w:p w:rsidR="001A452C" w:rsidRPr="00105F1C"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 xml:space="preserve">1.23 </w:t>
            </w:r>
            <w:r>
              <w:rPr>
                <w:rFonts w:eastAsiaTheme="minorEastAsia" w:cstheme="minorHAnsi"/>
                <w:b/>
              </w:rPr>
              <w:fldChar w:fldCharType="begin" w:fldLock="1"/>
            </w:r>
            <w:r w:rsidR="003B09A8">
              <w:rPr>
                <w:rFonts w:eastAsiaTheme="minorEastAsia" w:cstheme="minorHAnsi"/>
                <w:b/>
              </w:rPr>
              <w:instrText>ADDIN CSL_CITATION {"citationItems":[{"id":"ITEM-1","itemData":{"DOI":"10.1149/1.2425806","abstract":"Surface energy is one of the most fundamental parameters of a solid since it depends directly on the binding forces of the material. Indeed, it is a measure of the work necessary to separate a material into two parts along a plane. Very few measurements have been made of this quantity and these by indirect means, because of difficulties of measurement and interpretation. This report deals with a direct measurement of specific surface energy of Ge and Si made by the cleavage technique. By measuring the force just necessary to move a crack “in reversible fashion” the surface energy can be obtained. The measured value for the {111} planes of Ge and Si are 1060 ergs/cm2 and 1230 ergs/cm2. From these measured values the energy of the planes {100} and {110}can be estimated. They are: \n\n\nUsing the measured value of specific surface energy, assuming this is due to the appropriate number of broken\n\n, the bond strength of Ge and Si was obtained as\n\n;\n\n.","author":[{"dropping-particle":"","family":"Jaccodine","given":"R J","non-dropping-particle":"","parse-names":false,"suffix":""}],"container-title":"Journal of The Electrochemical Society ","id":"ITEM-1","issue":"6 ","issued":{"date-parts":[["1963","6","1"]]},"note":"10.1149/1.2425806","page":"524-527","title":"Surface Energy of Germanium and Silicon","type":"article-journal","volume":"110 "},"uris":["http://www.mendeley.com/documents/?uuid=6a7bdf49-3444-4d2d-ac5f-895af20fc13a"]}],"mendeley":{"formattedCitation":"&lt;span style=\"baseline\"&gt;[12]&lt;/span&gt;","plainTextFormattedCitation":"[12]","previouslyFormattedCitation":"&lt;sup&gt;12&lt;/sup&gt;"},"properties":{"noteIndex":0},"schema":"https://github.com/citation-style-language/schema/raw/master/csl-citation.json"}</w:instrText>
            </w:r>
            <w:r>
              <w:rPr>
                <w:rFonts w:eastAsiaTheme="minorEastAsia" w:cstheme="minorHAnsi"/>
                <w:b/>
              </w:rPr>
              <w:fldChar w:fldCharType="separate"/>
            </w:r>
            <w:r w:rsidR="003B09A8" w:rsidRPr="003B09A8">
              <w:rPr>
                <w:rFonts w:eastAsiaTheme="minorEastAsia" w:cstheme="minorHAnsi"/>
                <w:noProof/>
              </w:rPr>
              <w:t>[12]</w:t>
            </w:r>
            <w:r>
              <w:rPr>
                <w:rFonts w:eastAsiaTheme="minorEastAsia" w:cstheme="minorHAnsi"/>
                <w:b/>
              </w:rPr>
              <w:fldChar w:fldCharType="end"/>
            </w:r>
          </w:p>
        </w:tc>
        <w:tc>
          <w:tcPr>
            <w:tcW w:w="1055" w:type="dxa"/>
          </w:tcPr>
          <w:p w:rsidR="001A452C" w:rsidRPr="00105F1C"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 xml:space="preserve">0.01 </w:t>
            </w:r>
            <w:r>
              <w:rPr>
                <w:rFonts w:eastAsiaTheme="minorEastAsia" w:cstheme="minorHAnsi"/>
                <w:b/>
              </w:rPr>
              <w:fldChar w:fldCharType="begin" w:fldLock="1"/>
            </w:r>
            <w:r w:rsidR="003B09A8">
              <w:rPr>
                <w:rFonts w:eastAsiaTheme="minorEastAsia" w:cstheme="minorHAnsi"/>
                <w:b/>
              </w:rPr>
              <w:instrText>ADDIN CSL_CITATION {"citationItems":[{"id":"ITEM-1","itemData":{"DOI":"10.1016/J.TSF.2006.04.006","ISSN":"0040-6090","abstract":"In many fields and applications, a good knowledge of the wetting behaviour of solvents on a surface is crucial. Self-assembled monolayers (SAMs) have enabled improved control over surface properties, while more recent fields such as organic electronics gave rise to new applications and requirements regarding solvent–substrate interactions. However, most reported wettability studies are limited to practically less relevant solvents such as water, diiodomethane or hexadecane. Herein we report static contact angle measurements of various, typical SAM-modified surfaces, characterizing these surfaces' wettabilities over a wide range of practically relevant solvents. Surface energies, both the polar and the disperse component, of these SAM-modified surfaces are extracted with various methods from the contact angle data. Reliable methods for surface energy extraction, such as the Owens–Wendt–Rabel–Kaelble method and the method after Wu, yield values which could be expected from the chemical structure and nature of the self-assembled molecules and which correspond well to the few reported literature values. We also determined wetting envelopes for the various surfaces which allow easy prediction of the surfaces' wettability for a certain solvent and which ensure relevance for current and future solvents.","author":[{"dropping-particle":"","family":"Janssen","given":"Dimitri","non-dropping-particle":"","parse-names":false,"suffix":""},{"dropping-particle":"","family":"Palma","given":"Randy","non-dropping-particle":"De","parse-names":false,"suffix":""},{"dropping-particle":"","family":"Verlaak","given":"Stijn","non-dropping-particle":"","parse-names":false,"suffix":""},{"dropping-particle":"","family":"Heremans","given":"Paul","non-dropping-particle":"","parse-names":false,"suffix":""},{"dropping-particle":"","family":"Dehaen","given":"Wim","non-dropping-particle":"","parse-names":false,"suffix":""}],"container-title":"Thin Solid Films","id":"ITEM-1","issue":"4","issued":{"date-parts":[["2006","12","5"]]},"page":"1433-1438","publisher":"Elsevier","title":"Static solvent contact angle measurements, surface free energy and wettability determination of various self-assembled monolayers on silicon dioxide","type":"article-journal","volume":"515"},"uris":["http://www.mendeley.com/documents/?uuid=892550fa-f573-32ec-978c-d6f5bc8281d0"]}],"mendeley":{"formattedCitation":"&lt;span style=\"baseline\"&gt;[10]&lt;/span&gt;","plainTextFormattedCitation":"[10]","previouslyFormattedCitation":"&lt;sup&gt;10&lt;/sup&gt;"},"properties":{"noteIndex":0},"schema":"https://github.com/citation-style-language/schema/raw/master/csl-citation.json"}</w:instrText>
            </w:r>
            <w:r>
              <w:rPr>
                <w:rFonts w:eastAsiaTheme="minorEastAsia" w:cstheme="minorHAnsi"/>
                <w:b/>
              </w:rPr>
              <w:fldChar w:fldCharType="separate"/>
            </w:r>
            <w:r w:rsidR="003B09A8" w:rsidRPr="003B09A8">
              <w:rPr>
                <w:rFonts w:eastAsiaTheme="minorEastAsia" w:cstheme="minorHAnsi"/>
                <w:noProof/>
              </w:rPr>
              <w:t>[10]</w:t>
            </w:r>
            <w:r>
              <w:rPr>
                <w:rFonts w:eastAsiaTheme="minorEastAsia" w:cstheme="minorHAnsi"/>
                <w:b/>
              </w:rPr>
              <w:fldChar w:fldCharType="end"/>
            </w:r>
          </w:p>
        </w:tc>
        <w:tc>
          <w:tcPr>
            <w:tcW w:w="1271" w:type="dxa"/>
            <w:gridSpan w:val="2"/>
          </w:tcPr>
          <w:p w:rsidR="001A452C" w:rsidRPr="00105F1C"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 xml:space="preserve">1.20 </w:t>
            </w:r>
            <w:r>
              <w:rPr>
                <w:rFonts w:eastAsiaTheme="minorEastAsia" w:cstheme="minorHAnsi"/>
                <w:b/>
              </w:rPr>
              <w:fldChar w:fldCharType="begin" w:fldLock="1"/>
            </w:r>
            <w:r w:rsidR="003B09A8">
              <w:rPr>
                <w:rFonts w:eastAsiaTheme="minorEastAsia" w:cstheme="minorHAnsi"/>
                <w:b/>
              </w:rPr>
              <w:instrText>ADDIN CSL_CITATION {"citationItems":[{"id":"ITEM-1","itemData":{"author":[{"dropping-particle":"","family":"Egry","given":"Ivan","non-dropping-particle":"","parse-names":false,"suffix":""},{"dropping-particle":"","family":"Lohoefer","given":"Georg","non-dropping-particle":"","parse-names":false,"suffix":""},{"dropping-particle":"","family":"Jacobs","given":"Gerd","non-dropping-particle":"","parse-names":false,"suffix":""}],"container-title":"Physical review letters","id":"ITEM-1","issue":"22","issued":{"date-parts":[["1995"]]},"page":"4043","publisher":"APS","title":"Surface tension of liquid metals: results from measurements on ground and in space","type":"article-journal","volume":"75"},"uris":["http://www.mendeley.com/documents/?uuid=8d156e81-0ead-4933-a3af-8388d98e98a6"]}],"mendeley":{"formattedCitation":"&lt;span style=\"baseline\"&gt;[11]&lt;/span&gt;","plainTextFormattedCitation":"[11]","previouslyFormattedCitation":"&lt;sup&gt;11&lt;/sup&gt;"},"properties":{"noteIndex":0},"schema":"https://github.com/citation-style-language/schema/raw/master/csl-citation.json"}</w:instrText>
            </w:r>
            <w:r>
              <w:rPr>
                <w:rFonts w:eastAsiaTheme="minorEastAsia" w:cstheme="minorHAnsi"/>
                <w:b/>
              </w:rPr>
              <w:fldChar w:fldCharType="separate"/>
            </w:r>
            <w:r w:rsidR="003B09A8" w:rsidRPr="003B09A8">
              <w:rPr>
                <w:rFonts w:eastAsiaTheme="minorEastAsia" w:cstheme="minorHAnsi"/>
                <w:noProof/>
              </w:rPr>
              <w:t>[11]</w:t>
            </w:r>
            <w:r>
              <w:rPr>
                <w:rFonts w:eastAsiaTheme="minorEastAsia" w:cstheme="minorHAnsi"/>
                <w:b/>
              </w:rPr>
              <w:fldChar w:fldCharType="end"/>
            </w:r>
          </w:p>
        </w:tc>
        <w:tc>
          <w:tcPr>
            <w:tcW w:w="1275" w:type="dxa"/>
            <w:gridSpan w:val="2"/>
          </w:tcPr>
          <w:p w:rsidR="001A452C" w:rsidRPr="00105F1C"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1</w:t>
            </w:r>
            <w:r w:rsidRPr="00105F1C">
              <w:rPr>
                <w:rFonts w:eastAsiaTheme="minorEastAsia" w:cstheme="minorHAnsi"/>
                <w:b/>
              </w:rPr>
              <w:t>.</w:t>
            </w:r>
            <w:r>
              <w:rPr>
                <w:rFonts w:eastAsiaTheme="minorEastAsia" w:cstheme="minorHAnsi"/>
                <w:b/>
              </w:rPr>
              <w:t xml:space="preserve">23 </w:t>
            </w:r>
            <w:r>
              <w:rPr>
                <w:rFonts w:eastAsiaTheme="minorEastAsia" w:cstheme="minorHAnsi"/>
                <w:b/>
              </w:rPr>
              <w:fldChar w:fldCharType="begin" w:fldLock="1"/>
            </w:r>
            <w:r w:rsidR="003B09A8">
              <w:rPr>
                <w:rFonts w:eastAsiaTheme="minorEastAsia" w:cstheme="minorHAnsi"/>
                <w:b/>
              </w:rPr>
              <w:instrText>ADDIN CSL_CITATION {"citationItems":[{"id":"ITEM-1","itemData":{"DOI":"10.1149/1.2425806","abstract":"Surface energy is one of the most fundamental parameters of a solid since it depends directly on the binding forces of the material. Indeed, it is a measure of the work necessary to separate a material into two parts along a plane. Very few measurements have been made of this quantity and these by indirect means, because of difficulties of measurement and interpretation. This report deals with a direct measurement of specific surface energy of Ge and Si made by the cleavage technique. By measuring the force just necessary to move a crack “in reversible fashion” the surface energy can be obtained. The measured value for the {111} planes of Ge and Si are 1060 ergs/cm2 and 1230 ergs/cm2. From these measured values the energy of the planes {100} and {110}can be estimated. They are: \n\n\nUsing the measured value of specific surface energy, assuming this is due to the appropriate number of broken\n\n, the bond strength of Ge and Si was obtained as\n\n;\n\n.","author":[{"dropping-particle":"","family":"Jaccodine","given":"R J","non-dropping-particle":"","parse-names":false,"suffix":""}],"container-title":"Journal of The Electrochemical Society ","id":"ITEM-1","issue":"6 ","issued":{"date-parts":[["1963","6","1"]]},"note":"10.1149/1.2425806","page":"524-527","title":"Surface Energy of Germanium and Silicon","type":"article-journal","volume":"110 "},"uris":["http://www.mendeley.com/documents/?uuid=6a7bdf49-3444-4d2d-ac5f-895af20fc13a"]}],"mendeley":{"formattedCitation":"&lt;span style=\"baseline\"&gt;[12]&lt;/span&gt;","plainTextFormattedCitation":"[12]","previouslyFormattedCitation":"&lt;sup&gt;12&lt;/sup&gt;"},"properties":{"noteIndex":0},"schema":"https://github.com/citation-style-language/schema/raw/master/csl-citation.json"}</w:instrText>
            </w:r>
            <w:r>
              <w:rPr>
                <w:rFonts w:eastAsiaTheme="minorEastAsia" w:cstheme="minorHAnsi"/>
                <w:b/>
              </w:rPr>
              <w:fldChar w:fldCharType="separate"/>
            </w:r>
            <w:r w:rsidR="003B09A8" w:rsidRPr="003B09A8">
              <w:rPr>
                <w:rFonts w:eastAsiaTheme="minorEastAsia" w:cstheme="minorHAnsi"/>
                <w:noProof/>
              </w:rPr>
              <w:t>[12]</w:t>
            </w:r>
            <w:r>
              <w:rPr>
                <w:rFonts w:eastAsiaTheme="minorEastAsia" w:cstheme="minorHAnsi"/>
                <w:b/>
              </w:rPr>
              <w:fldChar w:fldCharType="end"/>
            </w:r>
          </w:p>
        </w:tc>
      </w:tr>
      <w:tr w:rsidR="003B09A8" w:rsidTr="003B09A8">
        <w:trPr>
          <w:gridAfter w:val="1"/>
          <w:wAfter w:w="11" w:type="dxa"/>
        </w:trPr>
        <w:tc>
          <w:tcPr>
            <w:cnfStyle w:val="001000000000" w:firstRow="0" w:lastRow="0" w:firstColumn="1" w:lastColumn="0" w:oddVBand="0" w:evenVBand="0" w:oddHBand="0" w:evenHBand="0" w:firstRowFirstColumn="0" w:firstRowLastColumn="0" w:lastRowFirstColumn="0" w:lastRowLastColumn="0"/>
            <w:tcW w:w="2023" w:type="dxa"/>
            <w:vMerge w:val="restart"/>
          </w:tcPr>
          <w:p w:rsidR="001A452C" w:rsidRPr="00504149" w:rsidRDefault="001A452C" w:rsidP="004B2781">
            <w:pPr>
              <w:jc w:val="center"/>
              <w:rPr>
                <w:rFonts w:eastAsiaTheme="minorEastAsia" w:cstheme="minorHAnsi"/>
              </w:rPr>
            </w:pPr>
            <w:r w:rsidRPr="00105F1C">
              <w:rPr>
                <w:rFonts w:eastAsiaTheme="minorEastAsia" w:cstheme="minorHAnsi"/>
              </w:rPr>
              <w:t>Wett</w:t>
            </w:r>
            <w:r w:rsidRPr="00504149">
              <w:rPr>
                <w:rFonts w:eastAsiaTheme="minorEastAsia" w:cstheme="minorHAnsi"/>
              </w:rPr>
              <w:t>ing angle</w:t>
            </w:r>
          </w:p>
        </w:tc>
        <w:tc>
          <w:tcPr>
            <w:tcW w:w="2168" w:type="dxa"/>
            <w:gridSpan w:val="2"/>
          </w:tcPr>
          <w:p w:rsidR="001A452C" w:rsidRPr="00504149"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84°</w:t>
            </w:r>
          </w:p>
        </w:tc>
        <w:tc>
          <w:tcPr>
            <w:tcW w:w="1259" w:type="dxa"/>
            <w:gridSpan w:val="2"/>
          </w:tcPr>
          <w:p w:rsidR="001A452C" w:rsidRPr="00504149"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2325" w:type="dxa"/>
            <w:gridSpan w:val="3"/>
          </w:tcPr>
          <w:p w:rsidR="001A452C" w:rsidRPr="00504149"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504149">
              <w:rPr>
                <w:rFonts w:eastAsiaTheme="minorEastAsia" w:cstheme="minorHAnsi"/>
              </w:rPr>
              <w:t>84°</w:t>
            </w:r>
          </w:p>
        </w:tc>
        <w:tc>
          <w:tcPr>
            <w:tcW w:w="1276" w:type="dxa"/>
            <w:gridSpan w:val="2"/>
          </w:tcPr>
          <w:p w:rsidR="001A452C" w:rsidRPr="00504149"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r>
      <w:tr w:rsidR="003B09A8" w:rsidTr="003B09A8">
        <w:tc>
          <w:tcPr>
            <w:cnfStyle w:val="001000000000" w:firstRow="0" w:lastRow="0" w:firstColumn="1" w:lastColumn="0" w:oddVBand="0" w:evenVBand="0" w:oddHBand="0" w:evenHBand="0" w:firstRowFirstColumn="0" w:firstRowLastColumn="0" w:lastRowFirstColumn="0" w:lastRowLastColumn="0"/>
            <w:tcW w:w="2023" w:type="dxa"/>
            <w:vMerge/>
          </w:tcPr>
          <w:p w:rsidR="001A452C" w:rsidRPr="00504149" w:rsidRDefault="001A452C" w:rsidP="004B2781">
            <w:pPr>
              <w:jc w:val="center"/>
              <w:rPr>
                <w:rFonts w:eastAsiaTheme="minorEastAsia" w:cstheme="minorHAnsi"/>
              </w:rPr>
            </w:pPr>
          </w:p>
        </w:tc>
        <w:tc>
          <w:tcPr>
            <w:tcW w:w="1091" w:type="dxa"/>
          </w:tcPr>
          <w:p w:rsidR="001A452C" w:rsidRPr="00504149"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2347" w:type="dxa"/>
            <w:gridSpan w:val="4"/>
          </w:tcPr>
          <w:p w:rsidR="001A452C" w:rsidRPr="00105F1C"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105F1C">
              <w:rPr>
                <w:rFonts w:eastAsiaTheme="minorEastAsia" w:cstheme="minorHAnsi"/>
              </w:rPr>
              <w:t>42°</w:t>
            </w:r>
          </w:p>
        </w:tc>
        <w:tc>
          <w:tcPr>
            <w:tcW w:w="1055" w:type="dxa"/>
          </w:tcPr>
          <w:p w:rsidR="001A452C" w:rsidRPr="00105F1C"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2546" w:type="dxa"/>
            <w:gridSpan w:val="4"/>
          </w:tcPr>
          <w:p w:rsidR="001A452C" w:rsidRPr="00105F1C"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105F1C">
              <w:rPr>
                <w:rFonts w:eastAsiaTheme="minorEastAsia" w:cstheme="minorHAnsi"/>
              </w:rPr>
              <w:t>42°</w:t>
            </w:r>
          </w:p>
        </w:tc>
      </w:tr>
      <w:tr w:rsidR="003B09A8" w:rsidTr="003B09A8">
        <w:trPr>
          <w:trHeight w:val="704"/>
        </w:trPr>
        <w:tc>
          <w:tcPr>
            <w:cnfStyle w:val="001000000000" w:firstRow="0" w:lastRow="0" w:firstColumn="1" w:lastColumn="0" w:oddVBand="0" w:evenVBand="0" w:oddHBand="0" w:evenHBand="0" w:firstRowFirstColumn="0" w:firstRowLastColumn="0" w:lastRowFirstColumn="0" w:lastRowLastColumn="0"/>
            <w:tcW w:w="2023" w:type="dxa"/>
          </w:tcPr>
          <w:p w:rsidR="001A452C" w:rsidRPr="00D166AA" w:rsidRDefault="001A452C" w:rsidP="003B09A8">
            <w:pPr>
              <w:jc w:val="center"/>
              <w:rPr>
                <w:rFonts w:eastAsiaTheme="minorEastAsia" w:cstheme="minorHAnsi"/>
              </w:rPr>
            </w:pPr>
            <w:r w:rsidRPr="00D166AA">
              <w:rPr>
                <w:rFonts w:eastAsiaTheme="minorEastAsia" w:cstheme="minorHAnsi"/>
              </w:rPr>
              <w:t>energetic portion</w:t>
            </w:r>
            <w:r>
              <w:rPr>
                <w:rFonts w:eastAsiaTheme="minorEastAsia" w:cstheme="minorHAnsi"/>
              </w:rPr>
              <w:t xml:space="preserve"> in interfacial energy </w:t>
            </w:r>
            <w:r>
              <w:rPr>
                <w:rFonts w:eastAsiaTheme="minorEastAsia" w:cstheme="minorHAnsi"/>
              </w:rPr>
              <w:fldChar w:fldCharType="begin" w:fldLock="1"/>
            </w:r>
            <w:r w:rsidR="003B09A8">
              <w:rPr>
                <w:rFonts w:eastAsiaTheme="minorEastAsia" w:cstheme="minorHAnsi"/>
              </w:rPr>
              <w:instrText>ADDIN CSL_CITATION {"citationItems":[{"id":"ITEM-1","itemData":{"DOI":"10.1016/S0167-577X(01)00508-0","ISSN":"0167-577X","abstract":"Values of solid–liquid interfacial energy σSL of metals at their melting points Tm that have been derived from reported maximum undercoolings are compared with values calculated from broken bond models. Particularly good agreement is obtained with the formulation of Waseda and Miller, although this significantly underestimates σSL for Bi, Ge and Pb. A recent model based on the size-dependence of melting temperature of crystals overestimates σSL for metals typically by 50% to 100% and its applicability to inorganic and organic compounds needs to be more widely tested.","author":[{"dropping-particle":"","family":"Jones","given":"H","non-dropping-particle":"","parse-names":false,"suffix":""}],"container-title":"Materials Letters","id":"ITEM-1","issue":"4-5","issued":{"date-parts":[["2002","4","1"]]},"page":"364-366","publisher":"North-Holland","title":"The solid–liquid interfacial energy of metals: calculations versus measurements","type":"article-journal","volume":"53"},"uris":["http://www.mendeley.com/documents/?uuid=547bdbb8-6ec7-3fb7-b2e6-bed33c1af5c7"]}],"mendeley":{"formattedCitation":"&lt;span style=\"baseline\"&gt;[13]&lt;/span&gt;","plainTextFormattedCitation":"[13]","previouslyFormattedCitation":"&lt;sup&gt;13&lt;/sup&gt;"},"properties":{"noteIndex":0},"schema":"https://github.com/citation-style-language/schema/raw/master/csl-citation.json"}</w:instrText>
            </w:r>
            <w:r>
              <w:rPr>
                <w:rFonts w:eastAsiaTheme="minorEastAsia" w:cstheme="minorHAnsi"/>
              </w:rPr>
              <w:fldChar w:fldCharType="separate"/>
            </w:r>
            <w:r w:rsidR="003B09A8" w:rsidRPr="003B09A8">
              <w:rPr>
                <w:rFonts w:eastAsiaTheme="minorEastAsia" w:cstheme="minorHAnsi"/>
                <w:b w:val="0"/>
                <w:noProof/>
              </w:rPr>
              <w:t>[13]</w:t>
            </w:r>
            <w:r>
              <w:rPr>
                <w:rFonts w:eastAsiaTheme="minorEastAsia" w:cstheme="minorHAnsi"/>
              </w:rPr>
              <w:fldChar w:fldCharType="end"/>
            </w:r>
          </w:p>
        </w:tc>
        <w:tc>
          <w:tcPr>
            <w:tcW w:w="1091" w:type="dxa"/>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0.155</w:t>
            </w:r>
          </w:p>
        </w:tc>
        <w:tc>
          <w:tcPr>
            <w:tcW w:w="1089" w:type="dxa"/>
            <w:gridSpan w:val="2"/>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-0.018</w:t>
            </w:r>
          </w:p>
        </w:tc>
        <w:tc>
          <w:tcPr>
            <w:tcW w:w="1258" w:type="dxa"/>
            <w:gridSpan w:val="2"/>
          </w:tcPr>
          <w:p w:rsidR="001A452C"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0.286</w:t>
            </w:r>
          </w:p>
          <w:p w:rsidR="001A452C" w:rsidRPr="00D166AA" w:rsidRDefault="001A452C" w:rsidP="003103AD">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1055" w:type="dxa"/>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0.155</w:t>
            </w:r>
          </w:p>
        </w:tc>
        <w:tc>
          <w:tcPr>
            <w:tcW w:w="1271" w:type="dxa"/>
            <w:gridSpan w:val="2"/>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-0,041</w:t>
            </w:r>
          </w:p>
        </w:tc>
        <w:tc>
          <w:tcPr>
            <w:tcW w:w="1275" w:type="dxa"/>
            <w:gridSpan w:val="2"/>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0.285</w:t>
            </w:r>
          </w:p>
        </w:tc>
      </w:tr>
      <w:tr w:rsidR="003B09A8" w:rsidTr="003B09A8">
        <w:tc>
          <w:tcPr>
            <w:cnfStyle w:val="001000000000" w:firstRow="0" w:lastRow="0" w:firstColumn="1" w:lastColumn="0" w:oddVBand="0" w:evenVBand="0" w:oddHBand="0" w:evenHBand="0" w:firstRowFirstColumn="0" w:firstRowLastColumn="0" w:lastRowFirstColumn="0" w:lastRowLastColumn="0"/>
            <w:tcW w:w="2023" w:type="dxa"/>
          </w:tcPr>
          <w:p w:rsidR="001A452C" w:rsidRDefault="001A452C" w:rsidP="004B2781">
            <w:pPr>
              <w:jc w:val="center"/>
              <w:rPr>
                <w:rFonts w:eastAsiaTheme="minorEastAsia" w:cstheme="minorHAnsi"/>
              </w:rPr>
            </w:pPr>
            <w:r>
              <w:rPr>
                <w:rFonts w:eastAsiaTheme="minorEastAsia" w:cstheme="minorHAnsi"/>
              </w:rPr>
              <w:t>Particle diameter [nm]</w:t>
            </w:r>
          </w:p>
        </w:tc>
        <w:tc>
          <w:tcPr>
            <w:tcW w:w="1091" w:type="dxa"/>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1089" w:type="dxa"/>
            <w:gridSpan w:val="2"/>
          </w:tcPr>
          <w:p w:rsidR="001A452C" w:rsidRPr="00D166AA"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 xml:space="preserve">0.35 </w:t>
            </w:r>
            <w:r>
              <w:rPr>
                <w:rFonts w:eastAsiaTheme="minorEastAsia" w:cstheme="minorHAnsi"/>
              </w:rPr>
              <w:fldChar w:fldCharType="begin" w:fldLock="1"/>
            </w:r>
            <w:r w:rsidR="003B09A8">
              <w:rPr>
                <w:rFonts w:eastAsiaTheme="minorEastAsia" w:cstheme="minorHAnsi"/>
              </w:rPr>
              <w:instrText>ADDIN CSL_CITATION {"citationItems":[{"id":"ITEM-1","itemData":{"DOI":"10.1063/1.1712084","ISSN":"0021-9606","author":[{"dropping-particle":"","family":"Clementi","given":"E","non-dropping-particle":"","parse-names":false,"suffix":""},{"dropping-particle":"","family":"Raimondi","given":"D L","non-dropping-particle":"","parse-names":false,"suffix":""},{"dropping-particle":"","family":"Reinhardt","given":"W P","non-dropping-particle":"","parse-names":false,"suffix":""}],"container-title":"The Journal of Chemical Physics","id":"ITEM-1","issue":"4","issued":{"date-parts":[["1967","8","15"]]},"note":"doi: 10.1063/1.1712084","page":"1300-1307","publisher":"American Institute of Physics","title":"Atomic Screening Constants from SCF Functions. II. Atoms with 37 to 86 Electrons","type":"article-journal","volume":"47"},"uris":["http://www.mendeley.com/documents/?uuid=c9154894-29da-45d8-a054-a9c71264fd6e"]}],"mendeley":{"formattedCitation":"&lt;span style=\"baseline\"&gt;[14]&lt;/span&gt;","plainTextFormattedCitation":"[14]","previouslyFormattedCitation":"&lt;sup&gt;14&lt;/sup&gt;"},"properties":{"noteIndex":0},"schema":"https://github.com/citation-style-language/schema/raw/master/csl-citation.json"}</w:instrText>
            </w:r>
            <w:r>
              <w:rPr>
                <w:rFonts w:eastAsiaTheme="minorEastAsia" w:cstheme="minorHAnsi"/>
              </w:rPr>
              <w:fldChar w:fldCharType="separate"/>
            </w:r>
            <w:r w:rsidR="003B09A8" w:rsidRPr="003B09A8">
              <w:rPr>
                <w:rFonts w:eastAsiaTheme="minorEastAsia" w:cstheme="minorHAnsi"/>
                <w:noProof/>
              </w:rPr>
              <w:t>[14]</w:t>
            </w:r>
            <w:r>
              <w:rPr>
                <w:rFonts w:eastAsiaTheme="minorEastAsia" w:cstheme="minorHAnsi"/>
              </w:rPr>
              <w:fldChar w:fldCharType="end"/>
            </w:r>
          </w:p>
        </w:tc>
        <w:tc>
          <w:tcPr>
            <w:tcW w:w="1258" w:type="dxa"/>
            <w:gridSpan w:val="2"/>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1055" w:type="dxa"/>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c>
          <w:tcPr>
            <w:tcW w:w="1271" w:type="dxa"/>
            <w:gridSpan w:val="2"/>
          </w:tcPr>
          <w:p w:rsidR="001A452C" w:rsidRPr="00D166AA" w:rsidRDefault="001A452C" w:rsidP="003B09A8">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 xml:space="preserve">0.35 </w:t>
            </w:r>
            <w:r>
              <w:rPr>
                <w:rFonts w:eastAsiaTheme="minorEastAsia" w:cstheme="minorHAnsi"/>
              </w:rPr>
              <w:fldChar w:fldCharType="begin" w:fldLock="1"/>
            </w:r>
            <w:r w:rsidR="003B09A8">
              <w:rPr>
                <w:rFonts w:eastAsiaTheme="minorEastAsia" w:cstheme="minorHAnsi"/>
              </w:rPr>
              <w:instrText>ADDIN CSL_CITATION {"citationItems":[{"id":"ITEM-1","itemData":{"DOI":"10.1063/1.1712084","ISSN":"0021-9606","author":[{"dropping-particle":"","family":"Clementi","given":"E","non-dropping-particle":"","parse-names":false,"suffix":""},{"dropping-particle":"","family":"Raimondi","given":"D L","non-dropping-particle":"","parse-names":false,"suffix":""},{"dropping-particle":"","family":"Reinhardt","given":"W P","non-dropping-particle":"","parse-names":false,"suffix":""}],"container-title":"The Journal of Chemical Physics","id":"ITEM-1","issue":"4","issued":{"date-parts":[["1967","8","15"]]},"note":"doi: 10.1063/1.1712084","page":"1300-1307","publisher":"American Institute of Physics","title":"Atomic Screening Constants from SCF Functions. II. Atoms with 37 to 86 Electrons","type":"article-journal","volume":"47"},"uris":["http://www.mendeley.com/documents/?uuid=c9154894-29da-45d8-a054-a9c71264fd6e"]}],"mendeley":{"formattedCitation":"&lt;span style=\"baseline\"&gt;[14]&lt;/span&gt;","plainTextFormattedCitation":"[14]","previouslyFormattedCitation":"&lt;sup&gt;14&lt;/sup&gt;"},"properties":{"noteIndex":0},"schema":"https://github.com/citation-style-language/schema/raw/master/csl-citation.json"}</w:instrText>
            </w:r>
            <w:r>
              <w:rPr>
                <w:rFonts w:eastAsiaTheme="minorEastAsia" w:cstheme="minorHAnsi"/>
              </w:rPr>
              <w:fldChar w:fldCharType="separate"/>
            </w:r>
            <w:r w:rsidR="003B09A8" w:rsidRPr="003B09A8">
              <w:rPr>
                <w:rFonts w:eastAsiaTheme="minorEastAsia" w:cstheme="minorHAnsi"/>
                <w:noProof/>
              </w:rPr>
              <w:t>[14]</w:t>
            </w:r>
            <w:r>
              <w:rPr>
                <w:rFonts w:eastAsiaTheme="minorEastAsia" w:cstheme="minorHAnsi"/>
              </w:rPr>
              <w:fldChar w:fldCharType="end"/>
            </w:r>
          </w:p>
        </w:tc>
        <w:tc>
          <w:tcPr>
            <w:tcW w:w="1275" w:type="dxa"/>
            <w:gridSpan w:val="2"/>
          </w:tcPr>
          <w:p w:rsidR="001A452C" w:rsidRPr="00D166AA"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tc>
      </w:tr>
      <w:tr w:rsidR="003B09A8" w:rsidTr="003B09A8">
        <w:trPr>
          <w:gridAfter w:val="1"/>
          <w:wAfter w:w="11" w:type="dxa"/>
        </w:trPr>
        <w:tc>
          <w:tcPr>
            <w:cnfStyle w:val="001000000000" w:firstRow="0" w:lastRow="0" w:firstColumn="1" w:lastColumn="0" w:oddVBand="0" w:evenVBand="0" w:oddHBand="0" w:evenHBand="0" w:firstRowFirstColumn="0" w:firstRowLastColumn="0" w:lastRowFirstColumn="0" w:lastRowLastColumn="0"/>
            <w:tcW w:w="2023" w:type="dxa"/>
            <w:vMerge w:val="restart"/>
          </w:tcPr>
          <w:p w:rsidR="001A452C" w:rsidRPr="00215624" w:rsidRDefault="001A452C" w:rsidP="004B2781">
            <w:pPr>
              <w:jc w:val="center"/>
              <w:rPr>
                <w:rFonts w:eastAsiaTheme="minorEastAsia" w:cstheme="minorHAnsi"/>
                <w:b w:val="0"/>
              </w:rPr>
            </w:pPr>
            <w:r w:rsidRPr="00215624">
              <w:rPr>
                <w:rFonts w:eastAsiaTheme="minorEastAsia" w:cstheme="minorHAnsi"/>
              </w:rPr>
              <w:t xml:space="preserve">Interfacial energy </w:t>
            </w:r>
            <w:r w:rsidR="004B2781">
              <w:rPr>
                <w:rFonts w:eastAsiaTheme="minorEastAsia" w:cstheme="minorHAnsi"/>
              </w:rPr>
              <w:t xml:space="preserve">WA </w:t>
            </w:r>
            <w:r w:rsidRPr="00215624">
              <w:rPr>
                <w:rFonts w:eastAsiaTheme="minorEastAsia" w:cstheme="minorHAnsi"/>
              </w:rPr>
              <w:t>[J/m2]</w:t>
            </w:r>
          </w:p>
        </w:tc>
        <w:tc>
          <w:tcPr>
            <w:tcW w:w="2168"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-0,03</w:t>
            </w:r>
          </w:p>
        </w:tc>
        <w:tc>
          <w:tcPr>
            <w:tcW w:w="1259"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25" w:type="dxa"/>
            <w:gridSpan w:val="3"/>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-0,03</w:t>
            </w:r>
          </w:p>
        </w:tc>
        <w:tc>
          <w:tcPr>
            <w:tcW w:w="1276"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r>
      <w:tr w:rsidR="003B09A8" w:rsidTr="003B09A8">
        <w:tc>
          <w:tcPr>
            <w:cnfStyle w:val="001000000000" w:firstRow="0" w:lastRow="0" w:firstColumn="1" w:lastColumn="0" w:oddVBand="0" w:evenVBand="0" w:oddHBand="0" w:evenHBand="0" w:firstRowFirstColumn="0" w:firstRowLastColumn="0" w:lastRowFirstColumn="0" w:lastRowLastColumn="0"/>
            <w:tcW w:w="2023" w:type="dxa"/>
            <w:vMerge/>
          </w:tcPr>
          <w:p w:rsidR="001A452C" w:rsidRPr="00215624" w:rsidRDefault="001A452C" w:rsidP="004B2781">
            <w:pPr>
              <w:jc w:val="center"/>
              <w:rPr>
                <w:rFonts w:eastAsiaTheme="minorEastAsia" w:cstheme="minorHAnsi"/>
                <w:b w:val="0"/>
              </w:rPr>
            </w:pPr>
          </w:p>
        </w:tc>
        <w:tc>
          <w:tcPr>
            <w:tcW w:w="1091" w:type="dxa"/>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47" w:type="dxa"/>
            <w:gridSpan w:val="4"/>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0,29</w:t>
            </w:r>
          </w:p>
        </w:tc>
        <w:tc>
          <w:tcPr>
            <w:tcW w:w="1055" w:type="dxa"/>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546" w:type="dxa"/>
            <w:gridSpan w:val="4"/>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0,34</w:t>
            </w:r>
          </w:p>
        </w:tc>
      </w:tr>
      <w:tr w:rsidR="003B09A8" w:rsidTr="003B09A8">
        <w:trPr>
          <w:gridAfter w:val="1"/>
          <w:wAfter w:w="11" w:type="dxa"/>
          <w:trHeight w:val="375"/>
        </w:trPr>
        <w:tc>
          <w:tcPr>
            <w:cnfStyle w:val="001000000000" w:firstRow="0" w:lastRow="0" w:firstColumn="1" w:lastColumn="0" w:oddVBand="0" w:evenVBand="0" w:oddHBand="0" w:evenHBand="0" w:firstRowFirstColumn="0" w:firstRowLastColumn="0" w:lastRowFirstColumn="0" w:lastRowLastColumn="0"/>
            <w:tcW w:w="2023" w:type="dxa"/>
            <w:vMerge w:val="restart"/>
          </w:tcPr>
          <w:p w:rsidR="001A452C" w:rsidRPr="00215624" w:rsidRDefault="001A452C" w:rsidP="004B2781">
            <w:pPr>
              <w:jc w:val="center"/>
              <w:rPr>
                <w:rFonts w:eastAsiaTheme="minorEastAsia" w:cstheme="minorHAnsi"/>
                <w:b w:val="0"/>
              </w:rPr>
            </w:pPr>
            <w:r w:rsidRPr="00215624">
              <w:rPr>
                <w:rFonts w:eastAsiaTheme="minorEastAsia" w:cstheme="minorHAnsi"/>
              </w:rPr>
              <w:t>Interfacial energy</w:t>
            </w:r>
            <w:r w:rsidR="004B2781">
              <w:rPr>
                <w:rFonts w:eastAsiaTheme="minorEastAsia" w:cstheme="minorHAnsi"/>
              </w:rPr>
              <w:t xml:space="preserve"> VW</w:t>
            </w:r>
            <w:r w:rsidRPr="00215624">
              <w:rPr>
                <w:rFonts w:eastAsiaTheme="minorEastAsia" w:cstheme="minorHAnsi"/>
              </w:rPr>
              <w:t>[J/m2]</w:t>
            </w:r>
          </w:p>
        </w:tc>
        <w:tc>
          <w:tcPr>
            <w:tcW w:w="2168" w:type="dxa"/>
            <w:gridSpan w:val="2"/>
          </w:tcPr>
          <w:p w:rsidR="001A452C" w:rsidRPr="00215624" w:rsidRDefault="001A452C" w:rsidP="004B2781">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-1.35</w:t>
            </w:r>
          </w:p>
        </w:tc>
        <w:tc>
          <w:tcPr>
            <w:tcW w:w="1259"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25" w:type="dxa"/>
            <w:gridSpan w:val="3"/>
          </w:tcPr>
          <w:p w:rsidR="001A452C" w:rsidRPr="00215624" w:rsidRDefault="001A452C" w:rsidP="004B2781">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-1,28</w:t>
            </w:r>
          </w:p>
        </w:tc>
        <w:tc>
          <w:tcPr>
            <w:tcW w:w="1276"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r>
      <w:tr w:rsidR="003B09A8" w:rsidTr="003B09A8">
        <w:trPr>
          <w:trHeight w:val="369"/>
        </w:trPr>
        <w:tc>
          <w:tcPr>
            <w:cnfStyle w:val="001000000000" w:firstRow="0" w:lastRow="0" w:firstColumn="1" w:lastColumn="0" w:oddVBand="0" w:evenVBand="0" w:oddHBand="0" w:evenHBand="0" w:firstRowFirstColumn="0" w:firstRowLastColumn="0" w:lastRowFirstColumn="0" w:lastRowLastColumn="0"/>
            <w:tcW w:w="2023" w:type="dxa"/>
            <w:vMerge/>
          </w:tcPr>
          <w:p w:rsidR="001A452C" w:rsidRPr="00215624" w:rsidRDefault="001A452C" w:rsidP="004B2781">
            <w:pPr>
              <w:jc w:val="center"/>
              <w:rPr>
                <w:rFonts w:eastAsiaTheme="minorEastAsia" w:cstheme="minorHAnsi"/>
                <w:b w:val="0"/>
              </w:rPr>
            </w:pPr>
          </w:p>
        </w:tc>
        <w:tc>
          <w:tcPr>
            <w:tcW w:w="1091" w:type="dxa"/>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47" w:type="dxa"/>
            <w:gridSpan w:val="4"/>
          </w:tcPr>
          <w:p w:rsidR="001A452C" w:rsidRPr="00215624" w:rsidRDefault="001A452C" w:rsidP="004B2781">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0,0</w:t>
            </w:r>
            <w:r w:rsidR="008B1720">
              <w:rPr>
                <w:rFonts w:eastAsiaTheme="minorEastAsia" w:cstheme="minorHAnsi"/>
                <w:b/>
              </w:rPr>
              <w:t>9</w:t>
            </w:r>
          </w:p>
        </w:tc>
        <w:tc>
          <w:tcPr>
            <w:tcW w:w="1055" w:type="dxa"/>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546" w:type="dxa"/>
            <w:gridSpan w:val="4"/>
          </w:tcPr>
          <w:p w:rsidR="001A452C" w:rsidRPr="00215624" w:rsidRDefault="008B1720" w:rsidP="004B2781">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0,16</w:t>
            </w:r>
          </w:p>
        </w:tc>
      </w:tr>
      <w:tr w:rsidR="003B09A8" w:rsidTr="003B09A8">
        <w:trPr>
          <w:gridAfter w:val="1"/>
          <w:wAfter w:w="11" w:type="dxa"/>
        </w:trPr>
        <w:tc>
          <w:tcPr>
            <w:cnfStyle w:val="001000000000" w:firstRow="0" w:lastRow="0" w:firstColumn="1" w:lastColumn="0" w:oddVBand="0" w:evenVBand="0" w:oddHBand="0" w:evenHBand="0" w:firstRowFirstColumn="0" w:firstRowLastColumn="0" w:lastRowFirstColumn="0" w:lastRowLastColumn="0"/>
            <w:tcW w:w="2023" w:type="dxa"/>
            <w:vMerge w:val="restart"/>
          </w:tcPr>
          <w:p w:rsidR="001A452C" w:rsidRPr="00215624" w:rsidRDefault="001A452C" w:rsidP="004B2781">
            <w:pPr>
              <w:jc w:val="center"/>
              <w:rPr>
                <w:rFonts w:eastAsiaTheme="minorEastAsia" w:cstheme="minorHAnsi"/>
                <w:b w:val="0"/>
              </w:rPr>
            </w:pPr>
            <w:r w:rsidRPr="00215624">
              <w:rPr>
                <w:rFonts w:eastAsiaTheme="minorEastAsia" w:cstheme="minorHAnsi"/>
              </w:rPr>
              <w:t xml:space="preserve">Interfacial energy </w:t>
            </w:r>
            <w:r w:rsidR="004B2781">
              <w:rPr>
                <w:rFonts w:eastAsiaTheme="minorEastAsia" w:cstheme="minorHAnsi"/>
              </w:rPr>
              <w:t>AE</w:t>
            </w:r>
            <w:r w:rsidRPr="00215624">
              <w:rPr>
                <w:rFonts w:eastAsiaTheme="minorEastAsia" w:cstheme="minorHAnsi"/>
              </w:rPr>
              <w:t xml:space="preserve"> [J/m2]</w:t>
            </w:r>
          </w:p>
        </w:tc>
        <w:tc>
          <w:tcPr>
            <w:tcW w:w="2168"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215624">
              <w:rPr>
                <w:rFonts w:eastAsiaTheme="minorEastAsia" w:cstheme="minorHAnsi"/>
                <w:b/>
              </w:rPr>
              <w:t>0.1</w:t>
            </w:r>
            <w:r>
              <w:rPr>
                <w:rFonts w:eastAsiaTheme="minorEastAsia" w:cstheme="minorHAnsi"/>
                <w:b/>
              </w:rPr>
              <w:t>4</w:t>
            </w:r>
          </w:p>
        </w:tc>
        <w:tc>
          <w:tcPr>
            <w:tcW w:w="1259"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25" w:type="dxa"/>
            <w:gridSpan w:val="3"/>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0.11</w:t>
            </w:r>
          </w:p>
        </w:tc>
        <w:tc>
          <w:tcPr>
            <w:tcW w:w="1276" w:type="dxa"/>
            <w:gridSpan w:val="2"/>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r>
      <w:tr w:rsidR="003B09A8" w:rsidTr="003B09A8">
        <w:tc>
          <w:tcPr>
            <w:cnfStyle w:val="001000000000" w:firstRow="0" w:lastRow="0" w:firstColumn="1" w:lastColumn="0" w:oddVBand="0" w:evenVBand="0" w:oddHBand="0" w:evenHBand="0" w:firstRowFirstColumn="0" w:firstRowLastColumn="0" w:lastRowFirstColumn="0" w:lastRowLastColumn="0"/>
            <w:tcW w:w="2023" w:type="dxa"/>
            <w:vMerge/>
          </w:tcPr>
          <w:p w:rsidR="001A452C" w:rsidRPr="00215624" w:rsidRDefault="001A452C" w:rsidP="003103AD">
            <w:pPr>
              <w:jc w:val="both"/>
              <w:rPr>
                <w:rFonts w:eastAsiaTheme="minorEastAsia" w:cstheme="minorHAnsi"/>
                <w:b w:val="0"/>
              </w:rPr>
            </w:pPr>
          </w:p>
        </w:tc>
        <w:tc>
          <w:tcPr>
            <w:tcW w:w="1091" w:type="dxa"/>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347" w:type="dxa"/>
            <w:gridSpan w:val="4"/>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sidRPr="00215624">
              <w:rPr>
                <w:rFonts w:eastAsiaTheme="minorEastAsia" w:cstheme="minorHAnsi"/>
                <w:b/>
              </w:rPr>
              <w:t>0.</w:t>
            </w:r>
            <w:r>
              <w:rPr>
                <w:rFonts w:eastAsiaTheme="minorEastAsia" w:cstheme="minorHAnsi"/>
                <w:b/>
              </w:rPr>
              <w:t>27</w:t>
            </w:r>
          </w:p>
        </w:tc>
        <w:tc>
          <w:tcPr>
            <w:tcW w:w="1055" w:type="dxa"/>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p>
        </w:tc>
        <w:tc>
          <w:tcPr>
            <w:tcW w:w="2546" w:type="dxa"/>
            <w:gridSpan w:val="4"/>
          </w:tcPr>
          <w:p w:rsidR="001A452C" w:rsidRPr="00215624" w:rsidRDefault="001A452C" w:rsidP="003103AD">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HAnsi"/>
                <w:b/>
              </w:rPr>
            </w:pPr>
            <w:r>
              <w:rPr>
                <w:rFonts w:eastAsiaTheme="minorEastAsia" w:cstheme="minorHAnsi"/>
                <w:b/>
              </w:rPr>
              <w:t>0.24</w:t>
            </w:r>
          </w:p>
        </w:tc>
      </w:tr>
    </w:tbl>
    <w:p w:rsidR="001C15A7" w:rsidRDefault="001C15A7"/>
    <w:p w:rsidR="003B09A8" w:rsidRDefault="003B09A8"/>
    <w:p w:rsidR="001C15A7" w:rsidRPr="00E843D0" w:rsidRDefault="001C15A7" w:rsidP="003103AD">
      <w:pPr>
        <w:pStyle w:val="berschrift1"/>
        <w:ind w:left="360" w:firstLine="280"/>
        <w:rPr>
          <w:rFonts w:ascii="Arial" w:eastAsia="Times New Roman" w:hAnsi="Arial" w:cs="Arial"/>
          <w:sz w:val="22"/>
          <w:szCs w:val="22"/>
          <w:lang w:eastAsia="en-GB"/>
        </w:rPr>
      </w:pPr>
      <w:r w:rsidRPr="00E843D0">
        <w:rPr>
          <w:rFonts w:ascii="Arial" w:eastAsia="Times New Roman" w:hAnsi="Arial" w:cs="Arial"/>
          <w:sz w:val="22"/>
          <w:szCs w:val="22"/>
          <w:lang w:eastAsia="en-GB"/>
        </w:rPr>
        <w:t>References</w:t>
      </w:r>
    </w:p>
    <w:p w:rsidR="00056CA9" w:rsidRPr="00E843D0" w:rsidRDefault="00056CA9" w:rsidP="001C15A7">
      <w:pPr>
        <w:jc w:val="both"/>
        <w:rPr>
          <w:rStyle w:val="Hyperlink"/>
          <w:rFonts w:ascii="Arial" w:eastAsiaTheme="minorEastAsia" w:hAnsi="Arial" w:cs="Arial"/>
        </w:rPr>
      </w:pPr>
    </w:p>
    <w:p w:rsidR="003B09A8" w:rsidRPr="003B09A8" w:rsidRDefault="00056CA9" w:rsidP="003B09A8">
      <w:pPr>
        <w:widowControl w:val="0"/>
        <w:autoSpaceDE w:val="0"/>
        <w:autoSpaceDN w:val="0"/>
        <w:adjustRightInd w:val="0"/>
        <w:spacing w:line="240" w:lineRule="auto"/>
        <w:ind w:left="640" w:hanging="640"/>
        <w:rPr>
          <w:rFonts w:ascii="Arial" w:hAnsi="Arial" w:cs="Arial"/>
          <w:noProof/>
          <w:szCs w:val="24"/>
        </w:rPr>
      </w:pPr>
      <w:r w:rsidRPr="00E843D0">
        <w:rPr>
          <w:rStyle w:val="Hyperlink"/>
          <w:rFonts w:ascii="Arial" w:eastAsiaTheme="minorEastAsia" w:hAnsi="Arial" w:cs="Arial"/>
        </w:rPr>
        <w:fldChar w:fldCharType="begin" w:fldLock="1"/>
      </w:r>
      <w:r w:rsidRPr="00E843D0">
        <w:rPr>
          <w:rStyle w:val="Hyperlink"/>
          <w:rFonts w:ascii="Arial" w:eastAsiaTheme="minorEastAsia" w:hAnsi="Arial" w:cs="Arial"/>
        </w:rPr>
        <w:instrText xml:space="preserve">ADDIN Mendeley Bibliography CSL_BIBLIOGRAPHY </w:instrText>
      </w:r>
      <w:r w:rsidRPr="00E843D0">
        <w:rPr>
          <w:rStyle w:val="Hyperlink"/>
          <w:rFonts w:ascii="Arial" w:eastAsiaTheme="minorEastAsia" w:hAnsi="Arial" w:cs="Arial"/>
        </w:rPr>
        <w:fldChar w:fldCharType="separate"/>
      </w:r>
      <w:r w:rsidR="003B09A8" w:rsidRPr="003B09A8">
        <w:rPr>
          <w:rFonts w:ascii="Arial" w:hAnsi="Arial" w:cs="Arial"/>
          <w:noProof/>
          <w:szCs w:val="24"/>
        </w:rPr>
        <w:t>1.</w:t>
      </w:r>
      <w:r w:rsidR="003B09A8" w:rsidRPr="003B09A8">
        <w:rPr>
          <w:rFonts w:ascii="Arial" w:hAnsi="Arial" w:cs="Arial"/>
          <w:noProof/>
          <w:szCs w:val="24"/>
        </w:rPr>
        <w:tab/>
        <w:t xml:space="preserve">Krupp, H. </w:t>
      </w:r>
      <w:r w:rsidR="003B09A8" w:rsidRPr="003B09A8">
        <w:rPr>
          <w:rFonts w:ascii="Arial" w:hAnsi="Arial" w:cs="Arial"/>
          <w:i/>
          <w:iCs/>
          <w:noProof/>
          <w:szCs w:val="24"/>
        </w:rPr>
        <w:t>Adv. Colloid Interface Sci.</w:t>
      </w:r>
      <w:r w:rsidR="003B09A8" w:rsidRPr="003B09A8">
        <w:rPr>
          <w:rFonts w:ascii="Arial" w:hAnsi="Arial" w:cs="Arial"/>
          <w:noProof/>
          <w:szCs w:val="24"/>
        </w:rPr>
        <w:t xml:space="preserve"> </w:t>
      </w:r>
      <w:r w:rsidR="003B09A8" w:rsidRPr="003B09A8">
        <w:rPr>
          <w:rFonts w:ascii="Arial" w:hAnsi="Arial" w:cs="Arial"/>
          <w:b/>
          <w:bCs/>
          <w:noProof/>
          <w:szCs w:val="24"/>
        </w:rPr>
        <w:t>1967</w:t>
      </w:r>
      <w:r w:rsidR="003B09A8" w:rsidRPr="003B09A8">
        <w:rPr>
          <w:rFonts w:ascii="Arial" w:hAnsi="Arial" w:cs="Arial"/>
          <w:noProof/>
          <w:szCs w:val="24"/>
        </w:rPr>
        <w:t xml:space="preserve">, </w:t>
      </w:r>
      <w:r w:rsidR="003B09A8" w:rsidRPr="003B09A8">
        <w:rPr>
          <w:rFonts w:ascii="Arial" w:hAnsi="Arial" w:cs="Arial"/>
          <w:i/>
          <w:iCs/>
          <w:noProof/>
          <w:szCs w:val="24"/>
        </w:rPr>
        <w:t>1</w:t>
      </w:r>
      <w:r w:rsidR="003B09A8" w:rsidRPr="003B09A8">
        <w:rPr>
          <w:rFonts w:ascii="Arial" w:hAnsi="Arial" w:cs="Arial"/>
          <w:noProof/>
          <w:szCs w:val="24"/>
        </w:rPr>
        <w:t xml:space="preserve"> (2), 111–239</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2.</w:t>
      </w:r>
      <w:r w:rsidRPr="003B09A8">
        <w:rPr>
          <w:rFonts w:ascii="Arial" w:hAnsi="Arial" w:cs="Arial"/>
          <w:noProof/>
          <w:szCs w:val="24"/>
        </w:rPr>
        <w:tab/>
        <w:t xml:space="preserve">Visser, J. </w:t>
      </w:r>
      <w:r w:rsidRPr="003B09A8">
        <w:rPr>
          <w:rFonts w:ascii="Arial" w:hAnsi="Arial" w:cs="Arial"/>
          <w:i/>
          <w:iCs/>
          <w:noProof/>
          <w:szCs w:val="24"/>
        </w:rPr>
        <w:t>Adv. Colloid Interface Sci.</w:t>
      </w:r>
      <w:r w:rsidRPr="003B09A8">
        <w:rPr>
          <w:rFonts w:ascii="Arial" w:hAnsi="Arial" w:cs="Arial"/>
          <w:noProof/>
          <w:szCs w:val="24"/>
        </w:rPr>
        <w:t xml:space="preserve"> </w:t>
      </w:r>
      <w:r w:rsidRPr="003B09A8">
        <w:rPr>
          <w:rFonts w:ascii="Arial" w:hAnsi="Arial" w:cs="Arial"/>
          <w:b/>
          <w:bCs/>
          <w:noProof/>
          <w:szCs w:val="24"/>
        </w:rPr>
        <w:t>1972</w:t>
      </w:r>
      <w:r w:rsidRPr="003B09A8">
        <w:rPr>
          <w:rFonts w:ascii="Arial" w:hAnsi="Arial" w:cs="Arial"/>
          <w:noProof/>
          <w:szCs w:val="24"/>
        </w:rPr>
        <w:t xml:space="preserve">, </w:t>
      </w:r>
      <w:r w:rsidRPr="003B09A8">
        <w:rPr>
          <w:rFonts w:ascii="Arial" w:hAnsi="Arial" w:cs="Arial"/>
          <w:i/>
          <w:iCs/>
          <w:noProof/>
          <w:szCs w:val="24"/>
        </w:rPr>
        <w:t>3</w:t>
      </w:r>
      <w:r w:rsidRPr="003B09A8">
        <w:rPr>
          <w:rFonts w:ascii="Arial" w:hAnsi="Arial" w:cs="Arial"/>
          <w:noProof/>
          <w:szCs w:val="24"/>
        </w:rPr>
        <w:t xml:space="preserve"> (4), 331–363</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3.</w:t>
      </w:r>
      <w:r w:rsidRPr="003B09A8">
        <w:rPr>
          <w:rFonts w:ascii="Arial" w:hAnsi="Arial" w:cs="Arial"/>
          <w:noProof/>
          <w:szCs w:val="24"/>
        </w:rPr>
        <w:tab/>
        <w:t xml:space="preserve">Schwerdtfeger, P. </w:t>
      </w:r>
      <w:r w:rsidRPr="003B09A8">
        <w:rPr>
          <w:rFonts w:ascii="Arial" w:hAnsi="Arial" w:cs="Arial"/>
          <w:i/>
          <w:iCs/>
          <w:noProof/>
          <w:szCs w:val="24"/>
        </w:rPr>
        <w:t>Cent. Theor. Chem. Physics, Massey Univ.</w:t>
      </w:r>
      <w:r w:rsidRPr="003B09A8">
        <w:rPr>
          <w:rFonts w:ascii="Arial" w:hAnsi="Arial" w:cs="Arial"/>
          <w:noProof/>
          <w:szCs w:val="24"/>
        </w:rPr>
        <w:t xml:space="preserve"> </w:t>
      </w:r>
      <w:r w:rsidRPr="003B09A8">
        <w:rPr>
          <w:rFonts w:ascii="Arial" w:hAnsi="Arial" w:cs="Arial"/>
          <w:b/>
          <w:bCs/>
          <w:noProof/>
          <w:szCs w:val="24"/>
        </w:rPr>
        <w:t>2015</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4.</w:t>
      </w:r>
      <w:r w:rsidRPr="003B09A8">
        <w:rPr>
          <w:rFonts w:ascii="Arial" w:hAnsi="Arial" w:cs="Arial"/>
          <w:noProof/>
          <w:szCs w:val="24"/>
        </w:rPr>
        <w:tab/>
        <w:t xml:space="preserve">Buttner, F. H.; Udin, H.; Wulff, J. </w:t>
      </w:r>
      <w:r w:rsidRPr="003B09A8">
        <w:rPr>
          <w:rFonts w:ascii="Arial" w:hAnsi="Arial" w:cs="Arial"/>
          <w:i/>
          <w:iCs/>
          <w:noProof/>
          <w:szCs w:val="24"/>
        </w:rPr>
        <w:t>JOM</w:t>
      </w:r>
      <w:r w:rsidRPr="003B09A8">
        <w:rPr>
          <w:rFonts w:ascii="Arial" w:hAnsi="Arial" w:cs="Arial"/>
          <w:noProof/>
          <w:szCs w:val="24"/>
        </w:rPr>
        <w:t xml:space="preserve"> </w:t>
      </w:r>
      <w:r w:rsidRPr="003B09A8">
        <w:rPr>
          <w:rFonts w:ascii="Arial" w:hAnsi="Arial" w:cs="Arial"/>
          <w:b/>
          <w:bCs/>
          <w:noProof/>
          <w:szCs w:val="24"/>
        </w:rPr>
        <w:t>1951</w:t>
      </w:r>
      <w:r w:rsidRPr="003B09A8">
        <w:rPr>
          <w:rFonts w:ascii="Arial" w:hAnsi="Arial" w:cs="Arial"/>
          <w:noProof/>
          <w:szCs w:val="24"/>
        </w:rPr>
        <w:t xml:space="preserve">, </w:t>
      </w:r>
      <w:r w:rsidRPr="003B09A8">
        <w:rPr>
          <w:rFonts w:ascii="Arial" w:hAnsi="Arial" w:cs="Arial"/>
          <w:i/>
          <w:iCs/>
          <w:noProof/>
          <w:szCs w:val="24"/>
        </w:rPr>
        <w:t>3</w:t>
      </w:r>
      <w:r w:rsidRPr="003B09A8">
        <w:rPr>
          <w:rFonts w:ascii="Arial" w:hAnsi="Arial" w:cs="Arial"/>
          <w:noProof/>
          <w:szCs w:val="24"/>
        </w:rPr>
        <w:t xml:space="preserve"> (12), 1209–1211</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5.</w:t>
      </w:r>
      <w:r w:rsidRPr="003B09A8">
        <w:rPr>
          <w:rFonts w:ascii="Arial" w:hAnsi="Arial" w:cs="Arial"/>
          <w:noProof/>
          <w:szCs w:val="24"/>
        </w:rPr>
        <w:tab/>
        <w:t xml:space="preserve">Paradisa, P. F.; Ishikawaa, T.; Koikeb, N. </w:t>
      </w:r>
      <w:r w:rsidRPr="003B09A8">
        <w:rPr>
          <w:rFonts w:ascii="Arial" w:hAnsi="Arial" w:cs="Arial"/>
          <w:i/>
          <w:iCs/>
          <w:noProof/>
          <w:szCs w:val="24"/>
        </w:rPr>
        <w:t>Gold Bull.</w:t>
      </w:r>
      <w:r w:rsidRPr="003B09A8">
        <w:rPr>
          <w:rFonts w:ascii="Arial" w:hAnsi="Arial" w:cs="Arial"/>
          <w:noProof/>
          <w:szCs w:val="24"/>
        </w:rPr>
        <w:t xml:space="preserve"> </w:t>
      </w:r>
      <w:r w:rsidRPr="003B09A8">
        <w:rPr>
          <w:rFonts w:ascii="Arial" w:hAnsi="Arial" w:cs="Arial"/>
          <w:b/>
          <w:bCs/>
          <w:noProof/>
          <w:szCs w:val="24"/>
        </w:rPr>
        <w:t>2008</w:t>
      </w:r>
      <w:r w:rsidRPr="003B09A8">
        <w:rPr>
          <w:rFonts w:ascii="Arial" w:hAnsi="Arial" w:cs="Arial"/>
          <w:noProof/>
          <w:szCs w:val="24"/>
        </w:rPr>
        <w:t xml:space="preserve">, </w:t>
      </w:r>
      <w:r w:rsidRPr="003B09A8">
        <w:rPr>
          <w:rFonts w:ascii="Arial" w:hAnsi="Arial" w:cs="Arial"/>
          <w:i/>
          <w:iCs/>
          <w:noProof/>
          <w:szCs w:val="24"/>
        </w:rPr>
        <w:t>41</w:t>
      </w:r>
      <w:r w:rsidRPr="003B09A8">
        <w:rPr>
          <w:rFonts w:ascii="Arial" w:hAnsi="Arial" w:cs="Arial"/>
          <w:noProof/>
          <w:szCs w:val="24"/>
        </w:rPr>
        <w:t xml:space="preserve"> (3), 242–245</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6.</w:t>
      </w:r>
      <w:r w:rsidRPr="003B09A8">
        <w:rPr>
          <w:rFonts w:ascii="Arial" w:hAnsi="Arial" w:cs="Arial"/>
          <w:noProof/>
          <w:szCs w:val="24"/>
        </w:rPr>
        <w:tab/>
        <w:t xml:space="preserve">Kim, J. Y.; Hwang, M. S.; Kim, Y.-H.; Kim, H. J.; Lee, Y. </w:t>
      </w:r>
      <w:r w:rsidRPr="003B09A8">
        <w:rPr>
          <w:rFonts w:ascii="Arial" w:hAnsi="Arial" w:cs="Arial"/>
          <w:i/>
          <w:iCs/>
          <w:noProof/>
          <w:szCs w:val="24"/>
        </w:rPr>
        <w:t>J. Appl. Phys.</w:t>
      </w:r>
      <w:r w:rsidRPr="003B09A8">
        <w:rPr>
          <w:rFonts w:ascii="Arial" w:hAnsi="Arial" w:cs="Arial"/>
          <w:noProof/>
          <w:szCs w:val="24"/>
        </w:rPr>
        <w:t xml:space="preserve"> </w:t>
      </w:r>
      <w:r w:rsidRPr="003B09A8">
        <w:rPr>
          <w:rFonts w:ascii="Arial" w:hAnsi="Arial" w:cs="Arial"/>
          <w:b/>
          <w:bCs/>
          <w:noProof/>
          <w:szCs w:val="24"/>
        </w:rPr>
        <w:t>2001</w:t>
      </w:r>
      <w:r w:rsidRPr="003B09A8">
        <w:rPr>
          <w:rFonts w:ascii="Arial" w:hAnsi="Arial" w:cs="Arial"/>
          <w:noProof/>
          <w:szCs w:val="24"/>
        </w:rPr>
        <w:t xml:space="preserve">, </w:t>
      </w:r>
      <w:r w:rsidRPr="003B09A8">
        <w:rPr>
          <w:rFonts w:ascii="Arial" w:hAnsi="Arial" w:cs="Arial"/>
          <w:i/>
          <w:iCs/>
          <w:noProof/>
          <w:szCs w:val="24"/>
        </w:rPr>
        <w:t>90</w:t>
      </w:r>
      <w:r w:rsidRPr="003B09A8">
        <w:rPr>
          <w:rFonts w:ascii="Arial" w:hAnsi="Arial" w:cs="Arial"/>
          <w:noProof/>
          <w:szCs w:val="24"/>
        </w:rPr>
        <w:t xml:space="preserve"> (5), 2469–2473</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7.</w:t>
      </w:r>
      <w:r w:rsidRPr="003B09A8">
        <w:rPr>
          <w:rFonts w:ascii="Arial" w:hAnsi="Arial" w:cs="Arial"/>
          <w:noProof/>
          <w:szCs w:val="24"/>
        </w:rPr>
        <w:tab/>
        <w:t xml:space="preserve">Bettin, H.; Toth, H. </w:t>
      </w:r>
      <w:r w:rsidRPr="003B09A8">
        <w:rPr>
          <w:rFonts w:ascii="Arial" w:hAnsi="Arial" w:cs="Arial"/>
          <w:i/>
          <w:iCs/>
          <w:noProof/>
          <w:szCs w:val="24"/>
        </w:rPr>
        <w:t>IEEE Trans. Instrum. Meas.</w:t>
      </w:r>
      <w:r w:rsidRPr="003B09A8">
        <w:rPr>
          <w:rFonts w:ascii="Arial" w:hAnsi="Arial" w:cs="Arial"/>
          <w:noProof/>
          <w:szCs w:val="24"/>
        </w:rPr>
        <w:t xml:space="preserve"> </w:t>
      </w:r>
      <w:r w:rsidRPr="003B09A8">
        <w:rPr>
          <w:rFonts w:ascii="Arial" w:hAnsi="Arial" w:cs="Arial"/>
          <w:b/>
          <w:bCs/>
          <w:noProof/>
          <w:szCs w:val="24"/>
        </w:rPr>
        <w:t>2007</w:t>
      </w:r>
      <w:r w:rsidRPr="003B09A8">
        <w:rPr>
          <w:rFonts w:ascii="Arial" w:hAnsi="Arial" w:cs="Arial"/>
          <w:noProof/>
          <w:szCs w:val="24"/>
        </w:rPr>
        <w:t xml:space="preserve">, </w:t>
      </w:r>
      <w:r w:rsidRPr="003B09A8">
        <w:rPr>
          <w:rFonts w:ascii="Arial" w:hAnsi="Arial" w:cs="Arial"/>
          <w:i/>
          <w:iCs/>
          <w:noProof/>
          <w:szCs w:val="24"/>
        </w:rPr>
        <w:t>56</w:t>
      </w:r>
      <w:r w:rsidRPr="003B09A8">
        <w:rPr>
          <w:rFonts w:ascii="Arial" w:hAnsi="Arial" w:cs="Arial"/>
          <w:noProof/>
          <w:szCs w:val="24"/>
        </w:rPr>
        <w:t xml:space="preserve"> (2), 257–261</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8.</w:t>
      </w:r>
      <w:r w:rsidRPr="003B09A8">
        <w:rPr>
          <w:rFonts w:ascii="Arial" w:hAnsi="Arial" w:cs="Arial"/>
          <w:noProof/>
          <w:szCs w:val="24"/>
        </w:rPr>
        <w:tab/>
        <w:t xml:space="preserve">Biggs, S.; Mulvaney, P. </w:t>
      </w:r>
      <w:r w:rsidRPr="003B09A8">
        <w:rPr>
          <w:rFonts w:ascii="Arial" w:hAnsi="Arial" w:cs="Arial"/>
          <w:i/>
          <w:iCs/>
          <w:noProof/>
          <w:szCs w:val="24"/>
        </w:rPr>
        <w:t>J. Chem. Phys.</w:t>
      </w:r>
      <w:r w:rsidRPr="003B09A8">
        <w:rPr>
          <w:rFonts w:ascii="Arial" w:hAnsi="Arial" w:cs="Arial"/>
          <w:noProof/>
          <w:szCs w:val="24"/>
        </w:rPr>
        <w:t xml:space="preserve"> </w:t>
      </w:r>
      <w:r w:rsidRPr="003B09A8">
        <w:rPr>
          <w:rFonts w:ascii="Arial" w:hAnsi="Arial" w:cs="Arial"/>
          <w:b/>
          <w:bCs/>
          <w:noProof/>
          <w:szCs w:val="24"/>
        </w:rPr>
        <w:t>1994</w:t>
      </w:r>
      <w:r w:rsidRPr="003B09A8">
        <w:rPr>
          <w:rFonts w:ascii="Arial" w:hAnsi="Arial" w:cs="Arial"/>
          <w:noProof/>
          <w:szCs w:val="24"/>
        </w:rPr>
        <w:t xml:space="preserve">, </w:t>
      </w:r>
      <w:r w:rsidRPr="003B09A8">
        <w:rPr>
          <w:rFonts w:ascii="Arial" w:hAnsi="Arial" w:cs="Arial"/>
          <w:i/>
          <w:iCs/>
          <w:noProof/>
          <w:szCs w:val="24"/>
        </w:rPr>
        <w:t>100</w:t>
      </w:r>
      <w:r w:rsidRPr="003B09A8">
        <w:rPr>
          <w:rFonts w:ascii="Arial" w:hAnsi="Arial" w:cs="Arial"/>
          <w:noProof/>
          <w:szCs w:val="24"/>
        </w:rPr>
        <w:t xml:space="preserve"> (11), 8501–8505</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9.</w:t>
      </w:r>
      <w:r w:rsidRPr="003B09A8">
        <w:rPr>
          <w:rFonts w:ascii="Arial" w:hAnsi="Arial" w:cs="Arial"/>
          <w:noProof/>
          <w:szCs w:val="24"/>
        </w:rPr>
        <w:tab/>
        <w:t xml:space="preserve">Bergström, L. </w:t>
      </w:r>
      <w:r w:rsidRPr="003B09A8">
        <w:rPr>
          <w:rFonts w:ascii="Arial" w:hAnsi="Arial" w:cs="Arial"/>
          <w:i/>
          <w:iCs/>
          <w:noProof/>
          <w:szCs w:val="24"/>
        </w:rPr>
        <w:t>Adv. Colloid Interface Sci.</w:t>
      </w:r>
      <w:r w:rsidRPr="003B09A8">
        <w:rPr>
          <w:rFonts w:ascii="Arial" w:hAnsi="Arial" w:cs="Arial"/>
          <w:noProof/>
          <w:szCs w:val="24"/>
        </w:rPr>
        <w:t xml:space="preserve"> </w:t>
      </w:r>
      <w:r w:rsidRPr="003B09A8">
        <w:rPr>
          <w:rFonts w:ascii="Arial" w:hAnsi="Arial" w:cs="Arial"/>
          <w:b/>
          <w:bCs/>
          <w:noProof/>
          <w:szCs w:val="24"/>
        </w:rPr>
        <w:t>1997</w:t>
      </w:r>
      <w:r w:rsidRPr="003B09A8">
        <w:rPr>
          <w:rFonts w:ascii="Arial" w:hAnsi="Arial" w:cs="Arial"/>
          <w:noProof/>
          <w:szCs w:val="24"/>
        </w:rPr>
        <w:t xml:space="preserve">, </w:t>
      </w:r>
      <w:r w:rsidRPr="003B09A8">
        <w:rPr>
          <w:rFonts w:ascii="Arial" w:hAnsi="Arial" w:cs="Arial"/>
          <w:i/>
          <w:iCs/>
          <w:noProof/>
          <w:szCs w:val="24"/>
        </w:rPr>
        <w:t>70</w:t>
      </w:r>
      <w:r w:rsidRPr="003B09A8">
        <w:rPr>
          <w:rFonts w:ascii="Arial" w:hAnsi="Arial" w:cs="Arial"/>
          <w:noProof/>
          <w:szCs w:val="24"/>
        </w:rPr>
        <w:t>, 125–169</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10.</w:t>
      </w:r>
      <w:r w:rsidRPr="003B09A8">
        <w:rPr>
          <w:rFonts w:ascii="Arial" w:hAnsi="Arial" w:cs="Arial"/>
          <w:noProof/>
          <w:szCs w:val="24"/>
        </w:rPr>
        <w:tab/>
        <w:t xml:space="preserve">Janssen, D.; De Palma, R.; Verlaak, S.; Heremans, P.; Dehaen, W. </w:t>
      </w:r>
      <w:r w:rsidRPr="003B09A8">
        <w:rPr>
          <w:rFonts w:ascii="Arial" w:hAnsi="Arial" w:cs="Arial"/>
          <w:i/>
          <w:iCs/>
          <w:noProof/>
          <w:szCs w:val="24"/>
        </w:rPr>
        <w:t>Thin Solid Films</w:t>
      </w:r>
      <w:r w:rsidRPr="003B09A8">
        <w:rPr>
          <w:rFonts w:ascii="Arial" w:hAnsi="Arial" w:cs="Arial"/>
          <w:noProof/>
          <w:szCs w:val="24"/>
        </w:rPr>
        <w:t xml:space="preserve"> </w:t>
      </w:r>
      <w:r w:rsidRPr="003B09A8">
        <w:rPr>
          <w:rFonts w:ascii="Arial" w:hAnsi="Arial" w:cs="Arial"/>
          <w:b/>
          <w:bCs/>
          <w:noProof/>
          <w:szCs w:val="24"/>
        </w:rPr>
        <w:t>2006</w:t>
      </w:r>
      <w:r w:rsidRPr="003B09A8">
        <w:rPr>
          <w:rFonts w:ascii="Arial" w:hAnsi="Arial" w:cs="Arial"/>
          <w:noProof/>
          <w:szCs w:val="24"/>
        </w:rPr>
        <w:t xml:space="preserve">, </w:t>
      </w:r>
      <w:r w:rsidRPr="003B09A8">
        <w:rPr>
          <w:rFonts w:ascii="Arial" w:hAnsi="Arial" w:cs="Arial"/>
          <w:i/>
          <w:iCs/>
          <w:noProof/>
          <w:szCs w:val="24"/>
        </w:rPr>
        <w:t>515</w:t>
      </w:r>
      <w:r w:rsidRPr="003B09A8">
        <w:rPr>
          <w:rFonts w:ascii="Arial" w:hAnsi="Arial" w:cs="Arial"/>
          <w:noProof/>
          <w:szCs w:val="24"/>
        </w:rPr>
        <w:t xml:space="preserve"> (4), 1433–1438</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lastRenderedPageBreak/>
        <w:t>11.</w:t>
      </w:r>
      <w:r w:rsidRPr="003B09A8">
        <w:rPr>
          <w:rFonts w:ascii="Arial" w:hAnsi="Arial" w:cs="Arial"/>
          <w:noProof/>
          <w:szCs w:val="24"/>
        </w:rPr>
        <w:tab/>
        <w:t xml:space="preserve">Egry, I.; Lohoefer, G.; Jacobs, G. </w:t>
      </w:r>
      <w:r w:rsidRPr="003B09A8">
        <w:rPr>
          <w:rFonts w:ascii="Arial" w:hAnsi="Arial" w:cs="Arial"/>
          <w:i/>
          <w:iCs/>
          <w:noProof/>
          <w:szCs w:val="24"/>
        </w:rPr>
        <w:t>Phys. Rev. Lett.</w:t>
      </w:r>
      <w:r w:rsidRPr="003B09A8">
        <w:rPr>
          <w:rFonts w:ascii="Arial" w:hAnsi="Arial" w:cs="Arial"/>
          <w:noProof/>
          <w:szCs w:val="24"/>
        </w:rPr>
        <w:t xml:space="preserve"> </w:t>
      </w:r>
      <w:r w:rsidRPr="003B09A8">
        <w:rPr>
          <w:rFonts w:ascii="Arial" w:hAnsi="Arial" w:cs="Arial"/>
          <w:b/>
          <w:bCs/>
          <w:noProof/>
          <w:szCs w:val="24"/>
        </w:rPr>
        <w:t>1995</w:t>
      </w:r>
      <w:r w:rsidRPr="003B09A8">
        <w:rPr>
          <w:rFonts w:ascii="Arial" w:hAnsi="Arial" w:cs="Arial"/>
          <w:noProof/>
          <w:szCs w:val="24"/>
        </w:rPr>
        <w:t xml:space="preserve">, </w:t>
      </w:r>
      <w:r w:rsidRPr="003B09A8">
        <w:rPr>
          <w:rFonts w:ascii="Arial" w:hAnsi="Arial" w:cs="Arial"/>
          <w:i/>
          <w:iCs/>
          <w:noProof/>
          <w:szCs w:val="24"/>
        </w:rPr>
        <w:t>75</w:t>
      </w:r>
      <w:r w:rsidRPr="003B09A8">
        <w:rPr>
          <w:rFonts w:ascii="Arial" w:hAnsi="Arial" w:cs="Arial"/>
          <w:noProof/>
          <w:szCs w:val="24"/>
        </w:rPr>
        <w:t xml:space="preserve"> (22), 4043</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12.</w:t>
      </w:r>
      <w:r w:rsidRPr="003B09A8">
        <w:rPr>
          <w:rFonts w:ascii="Arial" w:hAnsi="Arial" w:cs="Arial"/>
          <w:noProof/>
          <w:szCs w:val="24"/>
        </w:rPr>
        <w:tab/>
        <w:t xml:space="preserve">Jaccodine, R. J. </w:t>
      </w:r>
      <w:r w:rsidRPr="003B09A8">
        <w:rPr>
          <w:rFonts w:ascii="Arial" w:hAnsi="Arial" w:cs="Arial"/>
          <w:i/>
          <w:iCs/>
          <w:noProof/>
          <w:szCs w:val="24"/>
        </w:rPr>
        <w:t xml:space="preserve">J. Electrochem. Soc. </w:t>
      </w:r>
      <w:r w:rsidRPr="003B09A8">
        <w:rPr>
          <w:rFonts w:ascii="Arial" w:hAnsi="Arial" w:cs="Arial"/>
          <w:noProof/>
          <w:szCs w:val="24"/>
        </w:rPr>
        <w:t xml:space="preserve"> </w:t>
      </w:r>
      <w:r w:rsidRPr="003B09A8">
        <w:rPr>
          <w:rFonts w:ascii="Arial" w:hAnsi="Arial" w:cs="Arial"/>
          <w:b/>
          <w:bCs/>
          <w:noProof/>
          <w:szCs w:val="24"/>
        </w:rPr>
        <w:t>1963</w:t>
      </w:r>
      <w:r w:rsidRPr="003B09A8">
        <w:rPr>
          <w:rFonts w:ascii="Arial" w:hAnsi="Arial" w:cs="Arial"/>
          <w:noProof/>
          <w:szCs w:val="24"/>
        </w:rPr>
        <w:t xml:space="preserve">, </w:t>
      </w:r>
      <w:r w:rsidRPr="003B09A8">
        <w:rPr>
          <w:rFonts w:ascii="Arial" w:hAnsi="Arial" w:cs="Arial"/>
          <w:i/>
          <w:iCs/>
          <w:noProof/>
          <w:szCs w:val="24"/>
        </w:rPr>
        <w:t>110</w:t>
      </w:r>
      <w:r w:rsidRPr="003B09A8">
        <w:rPr>
          <w:rFonts w:ascii="Arial" w:hAnsi="Arial" w:cs="Arial"/>
          <w:noProof/>
          <w:szCs w:val="24"/>
        </w:rPr>
        <w:t xml:space="preserve"> (6), 524–527</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szCs w:val="24"/>
        </w:rPr>
      </w:pPr>
      <w:r w:rsidRPr="003B09A8">
        <w:rPr>
          <w:rFonts w:ascii="Arial" w:hAnsi="Arial" w:cs="Arial"/>
          <w:noProof/>
          <w:szCs w:val="24"/>
        </w:rPr>
        <w:t>13.</w:t>
      </w:r>
      <w:r w:rsidRPr="003B09A8">
        <w:rPr>
          <w:rFonts w:ascii="Arial" w:hAnsi="Arial" w:cs="Arial"/>
          <w:noProof/>
          <w:szCs w:val="24"/>
        </w:rPr>
        <w:tab/>
        <w:t xml:space="preserve">Jones, H. </w:t>
      </w:r>
      <w:r w:rsidRPr="003B09A8">
        <w:rPr>
          <w:rFonts w:ascii="Arial" w:hAnsi="Arial" w:cs="Arial"/>
          <w:i/>
          <w:iCs/>
          <w:noProof/>
          <w:szCs w:val="24"/>
        </w:rPr>
        <w:t>Mater. Lett.</w:t>
      </w:r>
      <w:r w:rsidRPr="003B09A8">
        <w:rPr>
          <w:rFonts w:ascii="Arial" w:hAnsi="Arial" w:cs="Arial"/>
          <w:noProof/>
          <w:szCs w:val="24"/>
        </w:rPr>
        <w:t xml:space="preserve"> </w:t>
      </w:r>
      <w:r w:rsidRPr="003B09A8">
        <w:rPr>
          <w:rFonts w:ascii="Arial" w:hAnsi="Arial" w:cs="Arial"/>
          <w:b/>
          <w:bCs/>
          <w:noProof/>
          <w:szCs w:val="24"/>
        </w:rPr>
        <w:t>2002</w:t>
      </w:r>
      <w:r w:rsidRPr="003B09A8">
        <w:rPr>
          <w:rFonts w:ascii="Arial" w:hAnsi="Arial" w:cs="Arial"/>
          <w:noProof/>
          <w:szCs w:val="24"/>
        </w:rPr>
        <w:t xml:space="preserve">, </w:t>
      </w:r>
      <w:r w:rsidRPr="003B09A8">
        <w:rPr>
          <w:rFonts w:ascii="Arial" w:hAnsi="Arial" w:cs="Arial"/>
          <w:i/>
          <w:iCs/>
          <w:noProof/>
          <w:szCs w:val="24"/>
        </w:rPr>
        <w:t>53</w:t>
      </w:r>
      <w:r w:rsidRPr="003B09A8">
        <w:rPr>
          <w:rFonts w:ascii="Arial" w:hAnsi="Arial" w:cs="Arial"/>
          <w:noProof/>
          <w:szCs w:val="24"/>
        </w:rPr>
        <w:t xml:space="preserve"> (4–5), 364–366</w:t>
      </w:r>
    </w:p>
    <w:p w:rsidR="003B09A8" w:rsidRPr="003B09A8" w:rsidRDefault="003B09A8" w:rsidP="003B09A8">
      <w:pPr>
        <w:widowControl w:val="0"/>
        <w:autoSpaceDE w:val="0"/>
        <w:autoSpaceDN w:val="0"/>
        <w:adjustRightInd w:val="0"/>
        <w:spacing w:line="240" w:lineRule="auto"/>
        <w:ind w:left="640" w:hanging="640"/>
        <w:rPr>
          <w:rFonts w:ascii="Arial" w:hAnsi="Arial" w:cs="Arial"/>
          <w:noProof/>
        </w:rPr>
      </w:pPr>
      <w:r w:rsidRPr="003B09A8">
        <w:rPr>
          <w:rFonts w:ascii="Arial" w:hAnsi="Arial" w:cs="Arial"/>
          <w:noProof/>
          <w:szCs w:val="24"/>
        </w:rPr>
        <w:t>14.</w:t>
      </w:r>
      <w:r w:rsidRPr="003B09A8">
        <w:rPr>
          <w:rFonts w:ascii="Arial" w:hAnsi="Arial" w:cs="Arial"/>
          <w:noProof/>
          <w:szCs w:val="24"/>
        </w:rPr>
        <w:tab/>
        <w:t xml:space="preserve">Clementi, E.; Raimondi, D. L.; Reinhardt, W. P. </w:t>
      </w:r>
      <w:r w:rsidRPr="003B09A8">
        <w:rPr>
          <w:rFonts w:ascii="Arial" w:hAnsi="Arial" w:cs="Arial"/>
          <w:i/>
          <w:iCs/>
          <w:noProof/>
          <w:szCs w:val="24"/>
        </w:rPr>
        <w:t>J. Chem. Phys.</w:t>
      </w:r>
      <w:r w:rsidRPr="003B09A8">
        <w:rPr>
          <w:rFonts w:ascii="Arial" w:hAnsi="Arial" w:cs="Arial"/>
          <w:noProof/>
          <w:szCs w:val="24"/>
        </w:rPr>
        <w:t xml:space="preserve"> </w:t>
      </w:r>
      <w:r w:rsidRPr="003B09A8">
        <w:rPr>
          <w:rFonts w:ascii="Arial" w:hAnsi="Arial" w:cs="Arial"/>
          <w:b/>
          <w:bCs/>
          <w:noProof/>
          <w:szCs w:val="24"/>
        </w:rPr>
        <w:t>1967</w:t>
      </w:r>
      <w:r w:rsidRPr="003B09A8">
        <w:rPr>
          <w:rFonts w:ascii="Arial" w:hAnsi="Arial" w:cs="Arial"/>
          <w:noProof/>
          <w:szCs w:val="24"/>
        </w:rPr>
        <w:t xml:space="preserve">, </w:t>
      </w:r>
      <w:r w:rsidRPr="003B09A8">
        <w:rPr>
          <w:rFonts w:ascii="Arial" w:hAnsi="Arial" w:cs="Arial"/>
          <w:i/>
          <w:iCs/>
          <w:noProof/>
          <w:szCs w:val="24"/>
        </w:rPr>
        <w:t>47</w:t>
      </w:r>
      <w:r w:rsidRPr="003B09A8">
        <w:rPr>
          <w:rFonts w:ascii="Arial" w:hAnsi="Arial" w:cs="Arial"/>
          <w:noProof/>
          <w:szCs w:val="24"/>
        </w:rPr>
        <w:t xml:space="preserve"> (4), 1300–1307</w:t>
      </w:r>
    </w:p>
    <w:p w:rsidR="008034CE" w:rsidRPr="00E843D0" w:rsidRDefault="00056CA9" w:rsidP="00DF6CF8">
      <w:pPr>
        <w:jc w:val="both"/>
        <w:rPr>
          <w:rFonts w:ascii="Arial" w:eastAsiaTheme="minorEastAsia" w:hAnsi="Arial" w:cs="Arial"/>
          <w:color w:val="0563C1" w:themeColor="hyperlink"/>
          <w:u w:val="single"/>
        </w:rPr>
      </w:pPr>
      <w:r w:rsidRPr="00E843D0">
        <w:rPr>
          <w:rStyle w:val="Hyperlink"/>
          <w:rFonts w:ascii="Arial" w:eastAsiaTheme="minorEastAsia" w:hAnsi="Arial" w:cs="Arial"/>
        </w:rPr>
        <w:fldChar w:fldCharType="end"/>
      </w:r>
    </w:p>
    <w:sectPr w:rsidR="008034CE" w:rsidRPr="00E843D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BA9" w:rsidRDefault="002F7BA9" w:rsidP="00CD28A4">
      <w:pPr>
        <w:spacing w:after="0" w:line="240" w:lineRule="auto"/>
      </w:pPr>
      <w:r>
        <w:separator/>
      </w:r>
    </w:p>
  </w:endnote>
  <w:endnote w:type="continuationSeparator" w:id="0">
    <w:p w:rsidR="002F7BA9" w:rsidRDefault="002F7BA9" w:rsidP="00CD2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BA9" w:rsidRDefault="002F7BA9" w:rsidP="00CD28A4">
      <w:pPr>
        <w:spacing w:after="0" w:line="240" w:lineRule="auto"/>
      </w:pPr>
      <w:r>
        <w:separator/>
      </w:r>
    </w:p>
  </w:footnote>
  <w:footnote w:type="continuationSeparator" w:id="0">
    <w:p w:rsidR="002F7BA9" w:rsidRDefault="002F7BA9" w:rsidP="00CD28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A51CA"/>
    <w:multiLevelType w:val="hybridMultilevel"/>
    <w:tmpl w:val="1D440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5F227B"/>
    <w:multiLevelType w:val="hybridMultilevel"/>
    <w:tmpl w:val="1D440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404B6"/>
    <w:multiLevelType w:val="hybridMultilevel"/>
    <w:tmpl w:val="69B81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EA5B33"/>
    <w:multiLevelType w:val="hybridMultilevel"/>
    <w:tmpl w:val="1D440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FF57C4"/>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735"/>
    <w:rsid w:val="00026E12"/>
    <w:rsid w:val="00056CA9"/>
    <w:rsid w:val="00067851"/>
    <w:rsid w:val="000A1EBB"/>
    <w:rsid w:val="000A24D6"/>
    <w:rsid w:val="00105F1C"/>
    <w:rsid w:val="00132FCD"/>
    <w:rsid w:val="001740BE"/>
    <w:rsid w:val="001A452C"/>
    <w:rsid w:val="001B668E"/>
    <w:rsid w:val="001C15A7"/>
    <w:rsid w:val="001C6AE5"/>
    <w:rsid w:val="001E0F3C"/>
    <w:rsid w:val="001F08DA"/>
    <w:rsid w:val="001F28E0"/>
    <w:rsid w:val="00250F4E"/>
    <w:rsid w:val="00275D9F"/>
    <w:rsid w:val="002A3115"/>
    <w:rsid w:val="002B5489"/>
    <w:rsid w:val="002B74CA"/>
    <w:rsid w:val="002F7BA9"/>
    <w:rsid w:val="003103AD"/>
    <w:rsid w:val="003A6290"/>
    <w:rsid w:val="003B09A8"/>
    <w:rsid w:val="003C7EA0"/>
    <w:rsid w:val="00497DFB"/>
    <w:rsid w:val="004A2DF2"/>
    <w:rsid w:val="004B2781"/>
    <w:rsid w:val="004B68F8"/>
    <w:rsid w:val="004D362B"/>
    <w:rsid w:val="004E2B5F"/>
    <w:rsid w:val="00500AD3"/>
    <w:rsid w:val="00504149"/>
    <w:rsid w:val="005237C1"/>
    <w:rsid w:val="00584DCC"/>
    <w:rsid w:val="005C4D8F"/>
    <w:rsid w:val="00603DB1"/>
    <w:rsid w:val="00610F35"/>
    <w:rsid w:val="006D4F3D"/>
    <w:rsid w:val="006E35FA"/>
    <w:rsid w:val="0074140E"/>
    <w:rsid w:val="00794C8D"/>
    <w:rsid w:val="007C37FC"/>
    <w:rsid w:val="007F23F2"/>
    <w:rsid w:val="008034CE"/>
    <w:rsid w:val="00862744"/>
    <w:rsid w:val="00897BC9"/>
    <w:rsid w:val="008B1720"/>
    <w:rsid w:val="008F6735"/>
    <w:rsid w:val="00973265"/>
    <w:rsid w:val="00973D2C"/>
    <w:rsid w:val="00982C4E"/>
    <w:rsid w:val="009A1F06"/>
    <w:rsid w:val="009A4F3E"/>
    <w:rsid w:val="009A52C6"/>
    <w:rsid w:val="009F5476"/>
    <w:rsid w:val="00A11B18"/>
    <w:rsid w:val="00A229EC"/>
    <w:rsid w:val="00A4569C"/>
    <w:rsid w:val="00AA076C"/>
    <w:rsid w:val="00AA3A43"/>
    <w:rsid w:val="00AC5DEB"/>
    <w:rsid w:val="00B4287F"/>
    <w:rsid w:val="00B8790B"/>
    <w:rsid w:val="00C1176C"/>
    <w:rsid w:val="00C32AA3"/>
    <w:rsid w:val="00C67EB1"/>
    <w:rsid w:val="00C7085B"/>
    <w:rsid w:val="00CA4FED"/>
    <w:rsid w:val="00CB4308"/>
    <w:rsid w:val="00CC1EFF"/>
    <w:rsid w:val="00CD28A4"/>
    <w:rsid w:val="00D528D7"/>
    <w:rsid w:val="00D80433"/>
    <w:rsid w:val="00D9370F"/>
    <w:rsid w:val="00DF39A7"/>
    <w:rsid w:val="00DF6CF8"/>
    <w:rsid w:val="00E21E91"/>
    <w:rsid w:val="00E83E4B"/>
    <w:rsid w:val="00E843D0"/>
    <w:rsid w:val="00EF3DFC"/>
    <w:rsid w:val="00EF7183"/>
    <w:rsid w:val="00F25133"/>
    <w:rsid w:val="00F34D21"/>
    <w:rsid w:val="00FB0F08"/>
    <w:rsid w:val="00FD2026"/>
    <w:rsid w:val="00FE2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D1CB2D0-DDEB-47B7-98C0-1B002FCE7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A2DF2"/>
    <w:pPr>
      <w:spacing w:line="256" w:lineRule="auto"/>
    </w:pPr>
  </w:style>
  <w:style w:type="paragraph" w:styleId="berschrift1">
    <w:name w:val="heading 1"/>
    <w:basedOn w:val="Standard"/>
    <w:next w:val="berschrift2"/>
    <w:link w:val="berschrift1Zchn"/>
    <w:uiPriority w:val="9"/>
    <w:qFormat/>
    <w:rsid w:val="009A4F3E"/>
    <w:pPr>
      <w:keepNext/>
      <w:keepLines/>
      <w:spacing w:before="240" w:after="120" w:line="257" w:lineRule="auto"/>
      <w:outlineLvl w:val="0"/>
    </w:pPr>
    <w:rPr>
      <w:rFonts w:asciiTheme="majorHAnsi" w:eastAsiaTheme="majorEastAsia" w:hAnsiTheme="majorHAnsi" w:cstheme="majorBidi"/>
      <w:b/>
      <w:color w:val="000000" w:themeColor="text1"/>
      <w:sz w:val="24"/>
      <w:szCs w:val="32"/>
    </w:rPr>
  </w:style>
  <w:style w:type="paragraph" w:styleId="berschrift2">
    <w:name w:val="heading 2"/>
    <w:basedOn w:val="Standard"/>
    <w:next w:val="Standard"/>
    <w:link w:val="berschrift2Zchn"/>
    <w:uiPriority w:val="9"/>
    <w:semiHidden/>
    <w:unhideWhenUsed/>
    <w:qFormat/>
    <w:rsid w:val="009A4F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A2DF2"/>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A2DF2"/>
    <w:pPr>
      <w:ind w:left="720"/>
      <w:contextualSpacing/>
    </w:pPr>
  </w:style>
  <w:style w:type="character" w:styleId="Hyperlink">
    <w:name w:val="Hyperlink"/>
    <w:basedOn w:val="Absatz-Standardschriftart"/>
    <w:uiPriority w:val="99"/>
    <w:unhideWhenUsed/>
    <w:rsid w:val="004A2DF2"/>
    <w:rPr>
      <w:color w:val="0563C1" w:themeColor="hyperlink"/>
      <w:u w:val="single"/>
    </w:rPr>
  </w:style>
  <w:style w:type="character" w:customStyle="1" w:styleId="berschrift1Zchn">
    <w:name w:val="Überschrift 1 Zchn"/>
    <w:basedOn w:val="Absatz-Standardschriftart"/>
    <w:link w:val="berschrift1"/>
    <w:uiPriority w:val="9"/>
    <w:rsid w:val="009A4F3E"/>
    <w:rPr>
      <w:rFonts w:asciiTheme="majorHAnsi" w:eastAsiaTheme="majorEastAsia" w:hAnsiTheme="majorHAnsi" w:cstheme="majorBidi"/>
      <w:b/>
      <w:color w:val="000000" w:themeColor="text1"/>
      <w:sz w:val="24"/>
      <w:szCs w:val="32"/>
    </w:rPr>
  </w:style>
  <w:style w:type="paragraph" w:styleId="Titel">
    <w:name w:val="Title"/>
    <w:basedOn w:val="Standard"/>
    <w:next w:val="Standard"/>
    <w:link w:val="TitelZchn"/>
    <w:uiPriority w:val="10"/>
    <w:qFormat/>
    <w:rsid w:val="009A4F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A4F3E"/>
    <w:rPr>
      <w:rFonts w:asciiTheme="majorHAnsi" w:eastAsiaTheme="majorEastAsia" w:hAnsiTheme="majorHAnsi" w:cstheme="majorBidi"/>
      <w:spacing w:val="-10"/>
      <w:kern w:val="28"/>
      <w:sz w:val="56"/>
      <w:szCs w:val="56"/>
    </w:rPr>
  </w:style>
  <w:style w:type="character" w:customStyle="1" w:styleId="berschrift2Zchn">
    <w:name w:val="Überschrift 2 Zchn"/>
    <w:basedOn w:val="Absatz-Standardschriftart"/>
    <w:link w:val="berschrift2"/>
    <w:uiPriority w:val="9"/>
    <w:semiHidden/>
    <w:rsid w:val="009A4F3E"/>
    <w:rPr>
      <w:rFonts w:asciiTheme="majorHAnsi" w:eastAsiaTheme="majorEastAsia" w:hAnsiTheme="majorHAnsi" w:cstheme="majorBidi"/>
      <w:color w:val="2E74B5" w:themeColor="accent1" w:themeShade="BF"/>
      <w:sz w:val="26"/>
      <w:szCs w:val="26"/>
    </w:rPr>
  </w:style>
  <w:style w:type="character" w:styleId="BesuchterHyperlink">
    <w:name w:val="FollowedHyperlink"/>
    <w:basedOn w:val="Absatz-Standardschriftart"/>
    <w:uiPriority w:val="99"/>
    <w:semiHidden/>
    <w:unhideWhenUsed/>
    <w:rsid w:val="005237C1"/>
    <w:rPr>
      <w:color w:val="954F72" w:themeColor="followedHyperlink"/>
      <w:u w:val="single"/>
    </w:rPr>
  </w:style>
  <w:style w:type="character" w:styleId="Platzhaltertext">
    <w:name w:val="Placeholder Text"/>
    <w:basedOn w:val="Absatz-Standardschriftart"/>
    <w:uiPriority w:val="99"/>
    <w:semiHidden/>
    <w:rsid w:val="00056CA9"/>
    <w:rPr>
      <w:color w:val="808080"/>
    </w:rPr>
  </w:style>
  <w:style w:type="paragraph" w:styleId="Funotentext">
    <w:name w:val="footnote text"/>
    <w:basedOn w:val="Standard"/>
    <w:link w:val="FunotentextZchn"/>
    <w:uiPriority w:val="99"/>
    <w:semiHidden/>
    <w:unhideWhenUsed/>
    <w:rsid w:val="00CD28A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CD28A4"/>
    <w:rPr>
      <w:sz w:val="20"/>
      <w:szCs w:val="20"/>
    </w:rPr>
  </w:style>
  <w:style w:type="character" w:styleId="Funotenzeichen">
    <w:name w:val="footnote reference"/>
    <w:basedOn w:val="Absatz-Standardschriftart"/>
    <w:uiPriority w:val="99"/>
    <w:semiHidden/>
    <w:unhideWhenUsed/>
    <w:rsid w:val="00CD28A4"/>
    <w:rPr>
      <w:vertAlign w:val="superscript"/>
    </w:rPr>
  </w:style>
  <w:style w:type="table" w:styleId="Gitternetztabelle1hell">
    <w:name w:val="Grid Table 1 Light"/>
    <w:basedOn w:val="NormaleTabelle"/>
    <w:uiPriority w:val="46"/>
    <w:rsid w:val="003103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rsid w:val="004B278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660C4-D0A5-47C7-92C9-BF8D65CD2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4212</Words>
  <Characters>24013</Characters>
  <Application>Microsoft Office Word</Application>
  <DocSecurity>0</DocSecurity>
  <Lines>200</Lines>
  <Paragraphs>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Ernst, Owen</dc:creator>
  <cp:keywords/>
  <dc:description/>
  <cp:lastModifiedBy>Ernst, Owen</cp:lastModifiedBy>
  <cp:revision>24</cp:revision>
  <dcterms:created xsi:type="dcterms:W3CDTF">2019-08-06T05:29:00Z</dcterms:created>
  <dcterms:modified xsi:type="dcterms:W3CDTF">2020-06-17T14:44:00Z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http://www.zotero.org/styles/american-chemical-society</vt:lpwstr>
  </property>
  <property fmtid="{D5CDD505-2E9C-101B-9397-08002B2CF9AE}" pid="3" name="Mendeley Recent Style Name 0_1">
    <vt:lpwstr>American Chemical Society</vt:lpwstr>
  </property>
  <property fmtid="{D5CDD505-2E9C-101B-9397-08002B2CF9AE}" pid="4" name="Mendeley Recent Style Id 1_1">
    <vt:lpwstr>http://www.zotero.org/styles/american-medical-association</vt:lpwstr>
  </property>
  <property fmtid="{D5CDD505-2E9C-101B-9397-08002B2CF9AE}" pid="5" name="Mendeley Recent Style Name 1_1">
    <vt:lpwstr>American Medical Association</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6th edition</vt:lpwstr>
  </property>
  <property fmtid="{D5CDD505-2E9C-101B-9397-08002B2CF9AE}" pid="10" name="Mendeley Recent Style Id 4_1">
    <vt:lpwstr>http://www.zotero.org/styles/american-sociological-association</vt:lpwstr>
  </property>
  <property fmtid="{D5CDD505-2E9C-101B-9397-08002B2CF9AE}" pid="11" name="Mendeley Recent Style Name 4_1">
    <vt:lpwstr>American Sociological Association</vt:lpwstr>
  </property>
  <property fmtid="{D5CDD505-2E9C-101B-9397-08002B2CF9AE}" pid="12" name="Mendeley Recent Style Id 5_1">
    <vt:lpwstr>http://www.zotero.org/styles/beilstein-journal-of-nanotechnology</vt:lpwstr>
  </property>
  <property fmtid="{D5CDD505-2E9C-101B-9397-08002B2CF9AE}" pid="13" name="Mendeley Recent Style Name 5_1">
    <vt:lpwstr>Beilstein Journal of Nanotechnology</vt:lpwstr>
  </property>
  <property fmtid="{D5CDD505-2E9C-101B-9397-08002B2CF9AE}" pid="14" name="Mendeley Recent Style Id 6_1">
    <vt:lpwstr>https://csl.mendeley.com/styles/558331871/beilstein-journal-of-organic-chemistry</vt:lpwstr>
  </property>
  <property fmtid="{D5CDD505-2E9C-101B-9397-08002B2CF9AE}" pid="15" name="Mendeley Recent Style Name 6_1">
    <vt:lpwstr>Beilstein Journal of Organic Chemistry - Owen Ernst</vt:lpwstr>
  </property>
  <property fmtid="{D5CDD505-2E9C-101B-9397-08002B2CF9AE}" pid="16" name="Mendeley Recent Style Id 7_1">
    <vt:lpwstr>http://csl.mendeley.com/styles/558331871/beilstein-journal-of-organic-chemistry</vt:lpwstr>
  </property>
  <property fmtid="{D5CDD505-2E9C-101B-9397-08002B2CF9AE}" pid="17" name="Mendeley Recent Style Name 7_1">
    <vt:lpwstr>Beilstein Journal of Organic Chemistry - Owen Ernst</vt:lpwstr>
  </property>
  <property fmtid="{D5CDD505-2E9C-101B-9397-08002B2CF9AE}" pid="18" name="Mendeley Recent Style Id 8_1">
    <vt:lpwstr>http://www.zotero.org/styles/chicago-author-date</vt:lpwstr>
  </property>
  <property fmtid="{D5CDD505-2E9C-101B-9397-08002B2CF9AE}" pid="19" name="Mendeley Recent Style Name 8_1">
    <vt:lpwstr>Chicago Manual of Style 17th edition (author-date)</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3feed267-7d24-3d34-a9d0-fa16a105fcc8</vt:lpwstr>
  </property>
  <property fmtid="{D5CDD505-2E9C-101B-9397-08002B2CF9AE}" pid="24" name="Mendeley Citation Style_1">
    <vt:lpwstr>http://csl.mendeley.com/styles/558331871/beilstein-journal-of-organic-chemistry</vt:lpwstr>
  </property>
</Properties>
</file>