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C0B" w:rsidRDefault="000E1C0B" w:rsidP="000E1C0B">
      <w:pPr>
        <w:pStyle w:val="LNPPaper"/>
        <w:spacing w:line="480" w:lineRule="auto"/>
        <w:rPr>
          <w:lang w:val="en-US"/>
        </w:rPr>
      </w:pPr>
      <w:bookmarkStart w:id="0" w:name="_GoBack"/>
      <w:r w:rsidRPr="00FB6E67">
        <w:rPr>
          <w:rFonts w:cs="Arial"/>
          <w:b w:val="0"/>
          <w:bCs w:val="0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2254DD23" wp14:editId="2CB456B1">
            <wp:simplePos x="0" y="0"/>
            <wp:positionH relativeFrom="margin">
              <wp:align>right</wp:align>
            </wp:positionH>
            <wp:positionV relativeFrom="page">
              <wp:posOffset>1587500</wp:posOffset>
            </wp:positionV>
            <wp:extent cx="6047126" cy="4991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583" cy="499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FB6E67">
        <w:rPr>
          <w:lang w:val="en-US"/>
        </w:rPr>
        <w:t>Supporting Information</w:t>
      </w: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pStyle w:val="LNPPaper"/>
        <w:spacing w:line="480" w:lineRule="auto"/>
        <w:rPr>
          <w:lang w:val="en-US"/>
        </w:rPr>
      </w:pPr>
    </w:p>
    <w:p w:rsidR="000E1C0B" w:rsidRPr="00FB6E67" w:rsidRDefault="000E1C0B" w:rsidP="000E1C0B">
      <w:pPr>
        <w:spacing w:line="480" w:lineRule="auto"/>
        <w:jc w:val="both"/>
        <w:rPr>
          <w:lang w:val="en-US"/>
        </w:rPr>
      </w:pPr>
      <w:r w:rsidRPr="00FB6E67">
        <w:rPr>
          <w:b/>
          <w:bCs/>
          <w:lang w:val="en-US"/>
        </w:rPr>
        <w:t xml:space="preserve">Supplementary Figure 1: (A) </w:t>
      </w:r>
      <w:r w:rsidRPr="00FB6E67">
        <w:rPr>
          <w:lang w:val="en-US"/>
        </w:rPr>
        <w:t xml:space="preserve">EMSA assay showing successful conjugation of the Cy5 DNA oligonucleotide to the RNA </w:t>
      </w:r>
      <w:proofErr w:type="spellStart"/>
      <w:r w:rsidRPr="00FB6E67">
        <w:rPr>
          <w:lang w:val="en-US"/>
        </w:rPr>
        <w:t>aptamers</w:t>
      </w:r>
      <w:proofErr w:type="spellEnd"/>
      <w:r w:rsidRPr="00FB6E67">
        <w:rPr>
          <w:lang w:val="en-US"/>
        </w:rPr>
        <w:t>, A-1 and G-3.</w:t>
      </w:r>
      <w:r w:rsidRPr="00FB6E67">
        <w:rPr>
          <w:b/>
          <w:bCs/>
          <w:lang w:val="en-US"/>
        </w:rPr>
        <w:t xml:space="preserve"> </w:t>
      </w:r>
      <w:r w:rsidRPr="00FB6E67">
        <w:rPr>
          <w:lang w:val="en-US"/>
        </w:rPr>
        <w:t>An 8% TBE gel (</w:t>
      </w:r>
      <w:proofErr w:type="spellStart"/>
      <w:r w:rsidRPr="00FB6E67">
        <w:rPr>
          <w:lang w:val="en-US"/>
        </w:rPr>
        <w:t>Novex</w:t>
      </w:r>
      <w:proofErr w:type="spellEnd"/>
      <w:r w:rsidRPr="00FB6E67">
        <w:rPr>
          <w:lang w:val="en-US"/>
        </w:rPr>
        <w:t xml:space="preserve">™, </w:t>
      </w:r>
      <w:proofErr w:type="spellStart"/>
      <w:r w:rsidRPr="00FB6E67">
        <w:rPr>
          <w:lang w:val="en-US"/>
        </w:rPr>
        <w:t>Thermofisher</w:t>
      </w:r>
      <w:proofErr w:type="spellEnd"/>
      <w:r w:rsidRPr="00FB6E67">
        <w:rPr>
          <w:lang w:val="en-US"/>
        </w:rPr>
        <w:t xml:space="preserve"> Scientific, MA) was subject to electrophoresis for 30 minutes at 180V under native conditions. The gel was soaked in a 2µg/mL EtBr solution for 10 minutes, washed </w:t>
      </w:r>
      <w:proofErr w:type="gramStart"/>
      <w:r w:rsidRPr="00FB6E67">
        <w:rPr>
          <w:lang w:val="en-US"/>
        </w:rPr>
        <w:t>3</w:t>
      </w:r>
      <w:proofErr w:type="gramEnd"/>
      <w:r w:rsidRPr="00FB6E67">
        <w:rPr>
          <w:lang w:val="en-US"/>
        </w:rPr>
        <w:t xml:space="preserve"> X with distilled water and visualized using a Bio-Rad EZ Gel Doc system (Bio-Rad). </w:t>
      </w:r>
      <w:r w:rsidRPr="00FB6E67">
        <w:rPr>
          <w:b/>
          <w:bCs/>
          <w:lang w:val="en-US"/>
        </w:rPr>
        <w:t>(B-C)</w:t>
      </w:r>
      <w:r w:rsidRPr="00FB6E67">
        <w:rPr>
          <w:lang w:val="en-US"/>
        </w:rPr>
        <w:t xml:space="preserve"> </w:t>
      </w:r>
      <w:r w:rsidRPr="00FB6E67">
        <w:rPr>
          <w:rFonts w:cstheme="minorHAnsi"/>
          <w:lang w:val="en-US"/>
        </w:rPr>
        <w:t xml:space="preserve">MALDI MS analysis of a </w:t>
      </w:r>
      <w:r w:rsidRPr="00FB6E67">
        <w:rPr>
          <w:rFonts w:cstheme="minorHAnsi"/>
          <w:lang w:val="en-US"/>
        </w:rPr>
        <w:lastRenderedPageBreak/>
        <w:t xml:space="preserve">lipid-peptide conjugate prepared in this study. (B) </w:t>
      </w:r>
      <w:r w:rsidRPr="00FB6E67">
        <w:rPr>
          <w:lang w:val="en-US"/>
        </w:rPr>
        <w:t>The desired modified T7 peptide was characterized via MALDI-TOF spectrometry with [M+H</w:t>
      </w:r>
      <w:proofErr w:type="gramStart"/>
      <w:r w:rsidRPr="00FB6E67">
        <w:rPr>
          <w:lang w:val="en-US"/>
        </w:rPr>
        <w:t>]</w:t>
      </w:r>
      <w:r w:rsidRPr="00FB6E67">
        <w:rPr>
          <w:vertAlign w:val="superscript"/>
          <w:lang w:val="en-US"/>
        </w:rPr>
        <w:t>+</w:t>
      </w:r>
      <w:proofErr w:type="gramEnd"/>
      <w:r w:rsidRPr="00FB6E67">
        <w:rPr>
          <w:lang w:val="en-US"/>
        </w:rPr>
        <w:t xml:space="preserve"> calc. 1455.00, [M+H]</w:t>
      </w:r>
      <w:r w:rsidRPr="00FB6E67">
        <w:rPr>
          <w:vertAlign w:val="superscript"/>
          <w:lang w:val="en-US"/>
        </w:rPr>
        <w:t>+</w:t>
      </w:r>
      <w:r w:rsidRPr="00FB6E67">
        <w:rPr>
          <w:lang w:val="en-US"/>
        </w:rPr>
        <w:t xml:space="preserve"> found  1455.20. (C) The modified Tat peptide was characterized with [M+H</w:t>
      </w:r>
      <w:proofErr w:type="gramStart"/>
      <w:r w:rsidRPr="00FB6E67">
        <w:rPr>
          <w:lang w:val="en-US"/>
        </w:rPr>
        <w:t>]</w:t>
      </w:r>
      <w:r w:rsidRPr="00FB6E67">
        <w:rPr>
          <w:vertAlign w:val="superscript"/>
          <w:lang w:val="en-US"/>
        </w:rPr>
        <w:t>+</w:t>
      </w:r>
      <w:proofErr w:type="gramEnd"/>
      <w:r w:rsidRPr="00FB6E67">
        <w:rPr>
          <w:lang w:val="en-US"/>
        </w:rPr>
        <w:t xml:space="preserve"> calc. 2121.48, [M+H]</w:t>
      </w:r>
      <w:r w:rsidRPr="00FB6E67">
        <w:rPr>
          <w:vertAlign w:val="superscript"/>
          <w:lang w:val="en-US"/>
        </w:rPr>
        <w:t>+</w:t>
      </w:r>
      <w:r w:rsidRPr="00FB6E67">
        <w:rPr>
          <w:lang w:val="en-US"/>
        </w:rPr>
        <w:t xml:space="preserve"> found. 2121.17.</w:t>
      </w: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lang w:val="en-US"/>
        </w:rPr>
      </w:pPr>
      <w:r w:rsidRPr="00FB6E67">
        <w:rPr>
          <w:b/>
          <w:bCs/>
          <w:noProof/>
          <w:lang w:val="en-US" w:eastAsia="en-US"/>
        </w:rPr>
        <w:lastRenderedPageBreak/>
        <w:drawing>
          <wp:anchor distT="0" distB="0" distL="114300" distR="114300" simplePos="0" relativeHeight="251659264" behindDoc="1" locked="0" layoutInCell="1" allowOverlap="1" wp14:anchorId="1D6E8903" wp14:editId="348B0139">
            <wp:simplePos x="0" y="0"/>
            <wp:positionH relativeFrom="column">
              <wp:posOffset>183515</wp:posOffset>
            </wp:positionH>
            <wp:positionV relativeFrom="margin">
              <wp:align>top</wp:align>
            </wp:positionV>
            <wp:extent cx="5947410" cy="7305675"/>
            <wp:effectExtent l="0" t="0" r="0" b="9525"/>
            <wp:wrapTight wrapText="bothSides">
              <wp:wrapPolygon edited="0">
                <wp:start x="0" y="0"/>
                <wp:lineTo x="0" y="21572"/>
                <wp:lineTo x="21517" y="21572"/>
                <wp:lineTo x="2151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6E67">
        <w:rPr>
          <w:rFonts w:ascii="Arial" w:hAnsi="Arial" w:cs="Arial"/>
          <w:b/>
          <w:bCs/>
          <w:lang w:val="en-US"/>
        </w:rPr>
        <w:t>Supplementary Figure 2:</w:t>
      </w:r>
      <w:r w:rsidRPr="00FB6E67">
        <w:rPr>
          <w:rFonts w:ascii="Arial" w:hAnsi="Arial" w:cs="Arial"/>
          <w:lang w:val="en-US"/>
        </w:rPr>
        <w:t xml:space="preserve"> LNPs visualized using TEM. LNPs show consistent size and uniformity across different formulations. (A) Representative images for each formulation </w:t>
      </w:r>
      <w:r w:rsidRPr="00FB6E67">
        <w:rPr>
          <w:rFonts w:ascii="Arial" w:hAnsi="Arial" w:cs="Arial"/>
          <w:lang w:val="en-US"/>
        </w:rPr>
        <w:lastRenderedPageBreak/>
        <w:t xml:space="preserve">and (B) size distribution analysis. At least </w:t>
      </w:r>
      <w:proofErr w:type="gramStart"/>
      <w:r w:rsidRPr="00FB6E67">
        <w:rPr>
          <w:rFonts w:ascii="Arial" w:hAnsi="Arial" w:cs="Arial"/>
          <w:lang w:val="en-US"/>
        </w:rPr>
        <w:t>3</w:t>
      </w:r>
      <w:proofErr w:type="gramEnd"/>
      <w:r w:rsidRPr="00FB6E67">
        <w:rPr>
          <w:rFonts w:ascii="Arial" w:hAnsi="Arial" w:cs="Arial"/>
          <w:lang w:val="en-US"/>
        </w:rPr>
        <w:t xml:space="preserve"> images for each formulation was used to determine the size distribution using </w:t>
      </w:r>
      <w:proofErr w:type="spellStart"/>
      <w:r w:rsidRPr="00FB6E67">
        <w:rPr>
          <w:rFonts w:ascii="Arial" w:hAnsi="Arial" w:cs="Arial"/>
          <w:lang w:val="en-US"/>
        </w:rPr>
        <w:t>ImageJ</w:t>
      </w:r>
      <w:proofErr w:type="spellEnd"/>
      <w:r w:rsidRPr="00FB6E67">
        <w:rPr>
          <w:rFonts w:ascii="Arial" w:hAnsi="Arial" w:cs="Arial"/>
          <w:lang w:val="en-US"/>
        </w:rPr>
        <w:t xml:space="preserve"> software (version 1.53a, NIH). The sizes observed under TEM confirm the observations by DLS and NTA.</w:t>
      </w: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b/>
          <w:bCs/>
          <w:lang w:val="en-US"/>
        </w:rPr>
      </w:pPr>
    </w:p>
    <w:p w:rsidR="000E1C0B" w:rsidRPr="00FB6E67" w:rsidRDefault="00136CED" w:rsidP="000E1C0B">
      <w:pPr>
        <w:spacing w:line="480" w:lineRule="auto"/>
        <w:jc w:val="both"/>
        <w:rPr>
          <w:rFonts w:ascii="Arial" w:hAnsi="Arial" w:cs="Arial"/>
          <w:b/>
          <w:bCs/>
          <w:lang w:val="en-US"/>
        </w:rPr>
      </w:pPr>
      <w:r w:rsidRPr="00FB6E67">
        <w:rPr>
          <w:rFonts w:ascii="Arial" w:hAnsi="Arial" w:cs="Arial"/>
          <w:b/>
          <w:bCs/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 wp14:anchorId="53BAA5F9" wp14:editId="3A7E1920">
            <wp:simplePos x="0" y="0"/>
            <wp:positionH relativeFrom="margin">
              <wp:align>left</wp:align>
            </wp:positionH>
            <wp:positionV relativeFrom="page">
              <wp:posOffset>2527300</wp:posOffset>
            </wp:positionV>
            <wp:extent cx="6607175" cy="2044700"/>
            <wp:effectExtent l="0" t="0" r="3175" b="0"/>
            <wp:wrapTight wrapText="bothSides">
              <wp:wrapPolygon edited="0">
                <wp:start x="0" y="0"/>
                <wp:lineTo x="0" y="21332"/>
                <wp:lineTo x="21548" y="21332"/>
                <wp:lineTo x="2154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17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lang w:val="en-US"/>
        </w:rPr>
      </w:pPr>
      <w:r w:rsidRPr="00FB6E67">
        <w:rPr>
          <w:rFonts w:ascii="Arial" w:hAnsi="Arial" w:cs="Arial"/>
          <w:b/>
          <w:bCs/>
          <w:lang w:val="en-US"/>
        </w:rPr>
        <w:t xml:space="preserve">Supplementary Figure 3: </w:t>
      </w:r>
      <w:proofErr w:type="spellStart"/>
      <w:r w:rsidRPr="00FB6E67">
        <w:rPr>
          <w:rFonts w:ascii="Arial" w:hAnsi="Arial" w:cs="Arial"/>
          <w:lang w:val="en-US"/>
        </w:rPr>
        <w:t>hCMEC</w:t>
      </w:r>
      <w:proofErr w:type="spellEnd"/>
      <w:r w:rsidRPr="00FB6E67">
        <w:rPr>
          <w:rFonts w:ascii="Arial" w:hAnsi="Arial" w:cs="Arial"/>
          <w:lang w:val="en-US"/>
        </w:rPr>
        <w:t xml:space="preserve">/D3 cells were subject to immunofluorescence to determine the expression of the tight junction protein, Claudin-5 after culture in </w:t>
      </w:r>
      <w:proofErr w:type="spellStart"/>
      <w:r w:rsidRPr="00FB6E67">
        <w:rPr>
          <w:rFonts w:ascii="Arial" w:hAnsi="Arial" w:cs="Arial"/>
          <w:lang w:val="en-US"/>
        </w:rPr>
        <w:t>transwell</w:t>
      </w:r>
      <w:proofErr w:type="spellEnd"/>
      <w:r w:rsidRPr="00FB6E67">
        <w:rPr>
          <w:rFonts w:ascii="Arial" w:hAnsi="Arial" w:cs="Arial"/>
          <w:lang w:val="en-US"/>
        </w:rPr>
        <w:t xml:space="preserve"> apical chambers. Confirmation of Claudin-5 expression (A) suggests that a successful tight junction layer </w:t>
      </w:r>
      <w:proofErr w:type="gramStart"/>
      <w:r w:rsidRPr="00FB6E67">
        <w:rPr>
          <w:rFonts w:ascii="Arial" w:hAnsi="Arial" w:cs="Arial"/>
          <w:lang w:val="en-US"/>
        </w:rPr>
        <w:t>was formed</w:t>
      </w:r>
      <w:proofErr w:type="gramEnd"/>
      <w:r w:rsidRPr="00FB6E67">
        <w:rPr>
          <w:rFonts w:ascii="Arial" w:hAnsi="Arial" w:cs="Arial"/>
          <w:lang w:val="en-US"/>
        </w:rPr>
        <w:t xml:space="preserve"> in the </w:t>
      </w:r>
      <w:r w:rsidRPr="00FB6E67">
        <w:rPr>
          <w:rFonts w:ascii="Arial" w:hAnsi="Arial" w:cs="Arial"/>
          <w:i/>
          <w:iCs/>
          <w:lang w:val="en-US"/>
        </w:rPr>
        <w:t>in vitro</w:t>
      </w:r>
      <w:r w:rsidRPr="00FB6E67">
        <w:rPr>
          <w:rFonts w:ascii="Arial" w:hAnsi="Arial" w:cs="Arial"/>
          <w:lang w:val="en-US"/>
        </w:rPr>
        <w:t xml:space="preserve"> culture. Further, resistivity </w:t>
      </w:r>
      <w:proofErr w:type="gramStart"/>
      <w:r w:rsidRPr="00FB6E67">
        <w:rPr>
          <w:rFonts w:ascii="Arial" w:hAnsi="Arial" w:cs="Arial"/>
          <w:lang w:val="en-US"/>
        </w:rPr>
        <w:t>was measured</w:t>
      </w:r>
      <w:proofErr w:type="gramEnd"/>
      <w:r w:rsidRPr="00FB6E67">
        <w:rPr>
          <w:rFonts w:ascii="Arial" w:hAnsi="Arial" w:cs="Arial"/>
          <w:lang w:val="en-US"/>
        </w:rPr>
        <w:t xml:space="preserve"> over time (B) to determine when the </w:t>
      </w:r>
      <w:r w:rsidRPr="00FB6E67">
        <w:rPr>
          <w:rFonts w:ascii="Arial" w:hAnsi="Arial" w:cs="Arial"/>
          <w:i/>
          <w:iCs/>
          <w:lang w:val="en-US"/>
        </w:rPr>
        <w:t>in vitro</w:t>
      </w:r>
      <w:r w:rsidRPr="00FB6E67">
        <w:rPr>
          <w:rFonts w:ascii="Arial" w:hAnsi="Arial" w:cs="Arial"/>
          <w:lang w:val="en-US"/>
        </w:rPr>
        <w:t xml:space="preserve"> culture reached approximately ~30 </w:t>
      </w:r>
      <w:r w:rsidRPr="00FB6E67">
        <w:rPr>
          <w:rFonts w:ascii="Arial" w:hAnsi="Arial" w:cs="Arial"/>
        </w:rPr>
        <w:t>Ω</w:t>
      </w:r>
      <w:r w:rsidRPr="00FB6E67">
        <w:rPr>
          <w:rFonts w:ascii="Arial" w:hAnsi="Arial" w:cs="Arial"/>
          <w:lang w:val="en-US"/>
        </w:rPr>
        <w:t>.cm</w:t>
      </w:r>
      <w:r w:rsidRPr="00FB6E67">
        <w:rPr>
          <w:rFonts w:ascii="Arial" w:hAnsi="Arial" w:cs="Arial"/>
          <w:vertAlign w:val="superscript"/>
          <w:lang w:val="en-US"/>
        </w:rPr>
        <w:t>2</w:t>
      </w:r>
      <w:r w:rsidRPr="00FB6E67">
        <w:rPr>
          <w:rFonts w:ascii="Arial" w:hAnsi="Arial" w:cs="Arial"/>
          <w:lang w:val="en-US"/>
        </w:rPr>
        <w:t>.</w:t>
      </w:r>
      <w:r w:rsidRPr="00FB6E67">
        <w:rPr>
          <w:rFonts w:ascii="Arial" w:hAnsi="Arial" w:cs="Arial"/>
          <w:vertAlign w:val="superscript"/>
          <w:lang w:val="en-US"/>
        </w:rPr>
        <w:t xml:space="preserve"> </w:t>
      </w:r>
      <w:r w:rsidRPr="00FB6E67">
        <w:rPr>
          <w:rFonts w:ascii="Arial" w:hAnsi="Arial" w:cs="Arial"/>
          <w:lang w:val="en-US"/>
        </w:rPr>
        <w:t xml:space="preserve">This resistivity measurement also confirms tight junction formation in the </w:t>
      </w:r>
      <w:proofErr w:type="spellStart"/>
      <w:r w:rsidRPr="00FB6E67">
        <w:rPr>
          <w:rFonts w:ascii="Arial" w:hAnsi="Arial" w:cs="Arial"/>
          <w:lang w:val="en-US"/>
        </w:rPr>
        <w:t>hCMEC</w:t>
      </w:r>
      <w:proofErr w:type="spellEnd"/>
      <w:r w:rsidRPr="00FB6E67">
        <w:rPr>
          <w:rFonts w:ascii="Arial" w:hAnsi="Arial" w:cs="Arial"/>
          <w:lang w:val="en-US"/>
        </w:rPr>
        <w:t xml:space="preserve">/D3 cell line in culture. Assays started when cultures had reached a resistivity of 30 </w:t>
      </w:r>
      <w:r w:rsidRPr="00FB6E67">
        <w:rPr>
          <w:rFonts w:ascii="Arial" w:hAnsi="Arial" w:cs="Arial"/>
        </w:rPr>
        <w:t>Ω</w:t>
      </w:r>
      <w:r w:rsidRPr="00FB6E67">
        <w:rPr>
          <w:rFonts w:ascii="Arial" w:hAnsi="Arial" w:cs="Arial"/>
          <w:lang w:val="en-US"/>
        </w:rPr>
        <w:t>.cm</w:t>
      </w:r>
      <w:r w:rsidRPr="00FB6E67">
        <w:rPr>
          <w:rFonts w:ascii="Arial" w:hAnsi="Arial" w:cs="Arial"/>
          <w:vertAlign w:val="superscript"/>
          <w:lang w:val="en-US"/>
        </w:rPr>
        <w:t>2</w:t>
      </w:r>
      <w:r w:rsidRPr="00FB6E67">
        <w:rPr>
          <w:rFonts w:ascii="Arial" w:hAnsi="Arial" w:cs="Arial"/>
          <w:lang w:val="en-US"/>
        </w:rPr>
        <w:t xml:space="preserve"> ranging between 6-12 days.</w:t>
      </w: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b/>
          <w:bCs/>
          <w:lang w:val="en-US"/>
        </w:rPr>
      </w:pP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b/>
          <w:bCs/>
        </w:rPr>
      </w:pPr>
      <w:r w:rsidRPr="00FB6E67">
        <w:rPr>
          <w:rFonts w:ascii="Arial" w:hAnsi="Arial" w:cs="Arial"/>
          <w:b/>
          <w:bCs/>
          <w:noProof/>
          <w:lang w:val="en-US" w:eastAsia="en-US"/>
        </w:rPr>
        <w:lastRenderedPageBreak/>
        <w:drawing>
          <wp:inline distT="0" distB="0" distL="0" distR="0" wp14:anchorId="1296A809" wp14:editId="38B918B8">
            <wp:extent cx="6346325" cy="4438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32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lang w:val="en-US"/>
        </w:rPr>
      </w:pPr>
      <w:r w:rsidRPr="00FB6E67">
        <w:rPr>
          <w:rFonts w:ascii="Arial" w:hAnsi="Arial" w:cs="Arial"/>
          <w:b/>
          <w:bCs/>
          <w:lang w:val="en-US"/>
        </w:rPr>
        <w:t xml:space="preserve">Supplementary Figure 4: </w:t>
      </w:r>
      <w:r w:rsidRPr="00FB6E67">
        <w:rPr>
          <w:rFonts w:ascii="Arial" w:hAnsi="Arial" w:cs="Arial"/>
          <w:lang w:val="en-US"/>
        </w:rPr>
        <w:t xml:space="preserve">Histograms showing LNP uptake in the different cell lines, and their corresponding MFI shifts. Top and bottom left are HEK293T cells and HEK293T-GP160 expressing cells exposed to LNP-A-1 with either T7 or Tat peptide post inserted. Top and bottom right are HeLa and </w:t>
      </w:r>
      <w:proofErr w:type="spellStart"/>
      <w:r w:rsidRPr="00FB6E67">
        <w:rPr>
          <w:rFonts w:ascii="Arial" w:hAnsi="Arial" w:cs="Arial"/>
          <w:lang w:val="en-US"/>
        </w:rPr>
        <w:t>TZMbl</w:t>
      </w:r>
      <w:proofErr w:type="spellEnd"/>
      <w:r w:rsidRPr="00FB6E67">
        <w:rPr>
          <w:rFonts w:ascii="Arial" w:hAnsi="Arial" w:cs="Arial"/>
          <w:lang w:val="en-US"/>
        </w:rPr>
        <w:t xml:space="preserve"> cells exposed to LNP-G-3 with either T7 or Tat peptide post inserted. Histograms show the increase in intensity and shift (to the right) in MFI intensity when the LNPs with </w:t>
      </w:r>
      <w:proofErr w:type="spellStart"/>
      <w:r w:rsidRPr="00FB6E67">
        <w:rPr>
          <w:rFonts w:ascii="Arial" w:hAnsi="Arial" w:cs="Arial"/>
          <w:lang w:val="en-US"/>
        </w:rPr>
        <w:t>aptamers</w:t>
      </w:r>
      <w:proofErr w:type="spellEnd"/>
      <w:r w:rsidRPr="00FB6E67">
        <w:rPr>
          <w:rFonts w:ascii="Arial" w:hAnsi="Arial" w:cs="Arial"/>
          <w:lang w:val="en-US"/>
        </w:rPr>
        <w:t xml:space="preserve"> </w:t>
      </w:r>
      <w:proofErr w:type="gramStart"/>
      <w:r w:rsidRPr="00FB6E67">
        <w:rPr>
          <w:rFonts w:ascii="Arial" w:hAnsi="Arial" w:cs="Arial"/>
          <w:lang w:val="en-US"/>
        </w:rPr>
        <w:t>are exposed</w:t>
      </w:r>
      <w:proofErr w:type="gramEnd"/>
      <w:r w:rsidRPr="00FB6E67">
        <w:rPr>
          <w:rFonts w:ascii="Arial" w:hAnsi="Arial" w:cs="Arial"/>
          <w:lang w:val="en-US"/>
        </w:rPr>
        <w:t xml:space="preserve"> to their target cells, compared to their non-target cells.</w:t>
      </w:r>
    </w:p>
    <w:p w:rsidR="000E1C0B" w:rsidRPr="00FB6E67" w:rsidRDefault="000E1C0B" w:rsidP="000E1C0B">
      <w:pPr>
        <w:spacing w:line="480" w:lineRule="auto"/>
        <w:jc w:val="both"/>
        <w:rPr>
          <w:rFonts w:ascii="Arial" w:hAnsi="Arial" w:cs="Arial"/>
          <w:b/>
          <w:bCs/>
          <w:lang w:val="en-US"/>
        </w:rPr>
      </w:pPr>
    </w:p>
    <w:p w:rsidR="006F5D92" w:rsidRPr="000E1C0B" w:rsidRDefault="00C72D47">
      <w:pPr>
        <w:rPr>
          <w:lang w:val="en-US"/>
        </w:rPr>
      </w:pPr>
    </w:p>
    <w:sectPr w:rsidR="006F5D92" w:rsidRPr="000E1C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0B"/>
    <w:rsid w:val="000E1C0B"/>
    <w:rsid w:val="00136CED"/>
    <w:rsid w:val="001C315F"/>
    <w:rsid w:val="00C72D47"/>
    <w:rsid w:val="00F4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4746D"/>
  <w15:chartTrackingRefBased/>
  <w15:docId w15:val="{BC2F2A98-CE62-49BE-A46E-2C147E8A0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0E1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LNPPaper">
    <w:name w:val="LNP Paper"/>
    <w:basedOn w:val="Overskrift1"/>
    <w:link w:val="LNPPaperChar"/>
    <w:qFormat/>
    <w:rsid w:val="000E1C0B"/>
    <w:pPr>
      <w:keepNext w:val="0"/>
      <w:keepLines w:val="0"/>
      <w:spacing w:before="100" w:beforeAutospacing="1" w:after="100" w:afterAutospacing="1"/>
    </w:pPr>
    <w:rPr>
      <w:rFonts w:ascii="Arial" w:eastAsia="Times New Roman" w:hAnsi="Arial" w:cs="Times New Roman"/>
      <w:b/>
      <w:bCs/>
      <w:kern w:val="36"/>
      <w:sz w:val="36"/>
      <w:szCs w:val="48"/>
    </w:rPr>
  </w:style>
  <w:style w:type="character" w:customStyle="1" w:styleId="LNPPaperChar">
    <w:name w:val="LNP Paper Char"/>
    <w:basedOn w:val="Overskrift1Tegn"/>
    <w:link w:val="LNPPaper"/>
    <w:rsid w:val="000E1C0B"/>
    <w:rPr>
      <w:rFonts w:ascii="Arial" w:eastAsia="Times New Roman" w:hAnsi="Arial" w:cs="Times New Roman"/>
      <w:b/>
      <w:bCs/>
      <w:color w:val="2E74B5" w:themeColor="accent1" w:themeShade="BF"/>
      <w:kern w:val="36"/>
      <w:sz w:val="36"/>
      <w:szCs w:val="48"/>
      <w:lang w:val="da-DK" w:eastAsia="da-DK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0E1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a-DK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DTU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Astakhova</dc:creator>
  <cp:keywords/>
  <dc:description/>
  <cp:lastModifiedBy>Kira Astakhova</cp:lastModifiedBy>
  <cp:revision>3</cp:revision>
  <dcterms:created xsi:type="dcterms:W3CDTF">2021-01-26T08:37:00Z</dcterms:created>
  <dcterms:modified xsi:type="dcterms:W3CDTF">2021-01-26T08:39:00Z</dcterms:modified>
</cp:coreProperties>
</file>