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D0D7" w14:textId="77777777" w:rsidR="00B1013F" w:rsidRPr="00D23C27" w:rsidRDefault="00B1013F" w:rsidP="00B1013F">
      <w:pPr>
        <w:pStyle w:val="MainText"/>
        <w:rPr>
          <w:rFonts w:eastAsia="Times New Roman"/>
          <w:b/>
          <w:bCs/>
          <w:i/>
          <w:sz w:val="36"/>
          <w:szCs w:val="36"/>
          <w:lang w:val="en-US"/>
        </w:rPr>
      </w:pPr>
      <w:r w:rsidRPr="00A24F7E">
        <w:rPr>
          <w:rFonts w:eastAsia="Times New Roman"/>
          <w:b/>
          <w:bCs/>
          <w:sz w:val="36"/>
          <w:szCs w:val="36"/>
          <w:lang w:val="en-US"/>
        </w:rPr>
        <w:t xml:space="preserve">Novel Alkyl Thioether Cyclodextrin Derivatives Against Bacterial Quorum Sensing in </w:t>
      </w:r>
      <w:proofErr w:type="spellStart"/>
      <w:r>
        <w:rPr>
          <w:rFonts w:eastAsia="Times New Roman"/>
          <w:b/>
          <w:bCs/>
          <w:i/>
          <w:sz w:val="36"/>
          <w:szCs w:val="36"/>
          <w:lang w:val="en-US"/>
        </w:rPr>
        <w:t>Aliivibrio</w:t>
      </w:r>
      <w:proofErr w:type="spellEnd"/>
      <w:r>
        <w:rPr>
          <w:rFonts w:eastAsia="Times New Roman"/>
          <w:b/>
          <w:bCs/>
          <w:i/>
          <w:sz w:val="36"/>
          <w:szCs w:val="36"/>
          <w:lang w:val="en-US"/>
        </w:rPr>
        <w:t xml:space="preserve"> </w:t>
      </w:r>
      <w:proofErr w:type="spellStart"/>
      <w:r>
        <w:rPr>
          <w:rFonts w:eastAsia="Times New Roman"/>
          <w:b/>
          <w:bCs/>
          <w:i/>
          <w:sz w:val="36"/>
          <w:szCs w:val="36"/>
          <w:lang w:val="en-US"/>
        </w:rPr>
        <w:t>fisch</w:t>
      </w:r>
      <w:r w:rsidRPr="00D23C27">
        <w:rPr>
          <w:rFonts w:eastAsia="Times New Roman"/>
          <w:b/>
          <w:bCs/>
          <w:i/>
          <w:sz w:val="36"/>
          <w:szCs w:val="36"/>
          <w:lang w:val="en-US"/>
        </w:rPr>
        <w:t>eri</w:t>
      </w:r>
      <w:proofErr w:type="spellEnd"/>
    </w:p>
    <w:p w14:paraId="191B8F97" w14:textId="77777777" w:rsidR="00B1013F" w:rsidRDefault="00B1013F" w:rsidP="00B1013F">
      <w:pPr>
        <w:pStyle w:val="MainText"/>
      </w:pPr>
      <w:r>
        <w:t xml:space="preserve">Éva </w:t>
      </w:r>
      <w:r w:rsidRPr="00E129C7">
        <w:t>Fenyvesi</w:t>
      </w:r>
      <w:r w:rsidRPr="00E129C7">
        <w:rPr>
          <w:vertAlign w:val="superscript"/>
        </w:rPr>
        <w:t>2</w:t>
      </w:r>
      <w:r w:rsidRPr="00EC78C2">
        <w:t>*</w:t>
      </w:r>
      <w:r>
        <w:t xml:space="preserve">, </w:t>
      </w:r>
      <w:r w:rsidRPr="00E129C7">
        <w:t>Zsófia</w:t>
      </w:r>
      <w:r>
        <w:t xml:space="preserve"> Berkl</w:t>
      </w:r>
      <w:r w:rsidRPr="009C0992">
        <w:rPr>
          <w:vertAlign w:val="superscript"/>
        </w:rPr>
        <w:t>1</w:t>
      </w:r>
      <w:r>
        <w:t xml:space="preserve">, </w:t>
      </w:r>
      <w:proofErr w:type="spellStart"/>
      <w:r>
        <w:t>Ligethy</w:t>
      </w:r>
      <w:proofErr w:type="spellEnd"/>
      <w:r>
        <w:t xml:space="preserve"> Laura</w:t>
      </w:r>
      <w:r w:rsidRPr="009C0992">
        <w:rPr>
          <w:vertAlign w:val="superscript"/>
        </w:rPr>
        <w:t>1</w:t>
      </w:r>
      <w:r>
        <w:t>, Ildikó Fekete-Kertész</w:t>
      </w:r>
      <w:r w:rsidRPr="009C0992">
        <w:rPr>
          <w:vertAlign w:val="superscript"/>
        </w:rPr>
        <w:t>1</w:t>
      </w:r>
      <w:r>
        <w:t>, Márton Csizmazia</w:t>
      </w:r>
      <w:r w:rsidRPr="009C0992">
        <w:rPr>
          <w:vertAlign w:val="superscript"/>
        </w:rPr>
        <w:t>1</w:t>
      </w:r>
      <w:r>
        <w:t>, Milo Malanga</w:t>
      </w:r>
      <w:r w:rsidRPr="009C0992">
        <w:rPr>
          <w:vertAlign w:val="superscript"/>
        </w:rPr>
        <w:t>2</w:t>
      </w:r>
      <w:r>
        <w:rPr>
          <w:vertAlign w:val="superscript"/>
        </w:rPr>
        <w:t>,</w:t>
      </w:r>
      <w:r w:rsidRPr="007659EF">
        <w:rPr>
          <w:vertAlign w:val="superscript"/>
        </w:rPr>
        <w:t xml:space="preserve"> </w:t>
      </w:r>
      <w:r>
        <w:rPr>
          <w:vertAlign w:val="superscript"/>
        </w:rPr>
        <w:t>3</w:t>
      </w:r>
      <w:r>
        <w:t>, István Puskás</w:t>
      </w:r>
      <w:r w:rsidRPr="009C0992">
        <w:rPr>
          <w:vertAlign w:val="superscript"/>
        </w:rPr>
        <w:t>2</w:t>
      </w:r>
      <w:r>
        <w:t>, Levente Szőcs</w:t>
      </w:r>
      <w:r w:rsidRPr="009C0992">
        <w:rPr>
          <w:vertAlign w:val="superscript"/>
        </w:rPr>
        <w:t>2</w:t>
      </w:r>
      <w:r>
        <w:t>, Erzsébet Varga</w:t>
      </w:r>
      <w:r w:rsidRPr="009C0992">
        <w:rPr>
          <w:vertAlign w:val="superscript"/>
        </w:rPr>
        <w:t>2</w:t>
      </w:r>
      <w:r>
        <w:t>, Lajos Szente</w:t>
      </w:r>
      <w:r w:rsidRPr="009C0992">
        <w:rPr>
          <w:vertAlign w:val="superscript"/>
        </w:rPr>
        <w:t>2</w:t>
      </w:r>
      <w:r>
        <w:t>, Mónika Molnár</w:t>
      </w:r>
      <w:r w:rsidRPr="009C0992">
        <w:rPr>
          <w:vertAlign w:val="superscript"/>
        </w:rPr>
        <w:t>1</w:t>
      </w:r>
    </w:p>
    <w:p w14:paraId="51605245" w14:textId="77777777" w:rsidR="00B1013F" w:rsidRPr="00EC78C2" w:rsidRDefault="00B1013F" w:rsidP="00B1013F">
      <w:pPr>
        <w:pStyle w:val="MainText"/>
      </w:pPr>
    </w:p>
    <w:p w14:paraId="774106AB" w14:textId="77777777" w:rsidR="00B1013F" w:rsidRDefault="00B1013F" w:rsidP="00B1013F">
      <w:pPr>
        <w:pStyle w:val="MainText"/>
      </w:pPr>
      <w:r w:rsidRPr="00374474">
        <w:rPr>
          <w:vertAlign w:val="superscript"/>
        </w:rPr>
        <w:t>1</w:t>
      </w:r>
      <w:r w:rsidRPr="00374474">
        <w:t>Department of Applied Biotechnology and Food Science, Budapest University of Technology and Economi</w:t>
      </w:r>
      <w:r>
        <w:t>cs, Budapest, Hungary</w:t>
      </w:r>
      <w:r w:rsidRPr="00374474">
        <w:t xml:space="preserve"> </w:t>
      </w:r>
    </w:p>
    <w:p w14:paraId="14A9B3A7" w14:textId="77777777" w:rsidR="00B1013F" w:rsidRDefault="00B1013F" w:rsidP="00B1013F">
      <w:pPr>
        <w:pStyle w:val="MainText"/>
      </w:pPr>
      <w:r w:rsidRPr="00374474">
        <w:rPr>
          <w:vertAlign w:val="superscript"/>
        </w:rPr>
        <w:t>2</w:t>
      </w:r>
      <w:r>
        <w:t>CycloLab Cyclodextrin R</w:t>
      </w:r>
      <w:r w:rsidRPr="00374474">
        <w:t>&amp;D Laboratory Ltd., Budapest, Hunga</w:t>
      </w:r>
      <w:r>
        <w:t>ry</w:t>
      </w:r>
    </w:p>
    <w:p w14:paraId="4D5DC5F0" w14:textId="77777777" w:rsidR="00B1013F" w:rsidRPr="00EC78C2" w:rsidRDefault="00B1013F" w:rsidP="00B1013F">
      <w:pPr>
        <w:pStyle w:val="MainText"/>
      </w:pPr>
      <w:r w:rsidRPr="0079303B">
        <w:rPr>
          <w:vertAlign w:val="superscript"/>
        </w:rPr>
        <w:t>3</w:t>
      </w:r>
      <w:r w:rsidRPr="0079303B">
        <w:rPr>
          <w:i/>
          <w:iCs/>
        </w:rPr>
        <w:t>Present affiliation:</w:t>
      </w:r>
      <w:r>
        <w:t xml:space="preserve"> </w:t>
      </w:r>
      <w:proofErr w:type="spellStart"/>
      <w:r>
        <w:t>CarboHyde</w:t>
      </w:r>
      <w:proofErr w:type="spellEnd"/>
      <w:r>
        <w:t>, Budapest, Hungary</w:t>
      </w:r>
    </w:p>
    <w:p w14:paraId="217F71D7" w14:textId="77777777" w:rsidR="00B1013F" w:rsidRPr="00EC78C2" w:rsidRDefault="00B1013F" w:rsidP="00B1013F">
      <w:pPr>
        <w:pStyle w:val="MainText"/>
      </w:pPr>
    </w:p>
    <w:p w14:paraId="313EFCEE" w14:textId="77777777" w:rsidR="00B1013F" w:rsidRPr="00374474" w:rsidRDefault="00B1013F" w:rsidP="00B1013F">
      <w:pPr>
        <w:pStyle w:val="MainText"/>
      </w:pPr>
      <w:r>
        <w:t xml:space="preserve">Email: </w:t>
      </w:r>
      <w:hyperlink r:id="rId4" w:history="1">
        <w:r w:rsidRPr="009A324E">
          <w:rPr>
            <w:rStyle w:val="Hiperhivatkozs"/>
          </w:rPr>
          <w:t>fenyvesi.e@cyclolab.hu</w:t>
        </w:r>
      </w:hyperlink>
      <w:r>
        <w:t xml:space="preserve"> </w:t>
      </w:r>
    </w:p>
    <w:p w14:paraId="5879F64C" w14:textId="77777777" w:rsidR="00B1013F" w:rsidRDefault="00B1013F" w:rsidP="00B1013F">
      <w:pPr>
        <w:pStyle w:val="MainText"/>
      </w:pPr>
      <w:r w:rsidRPr="00EC78C2">
        <w:t>* Corresponding author</w:t>
      </w:r>
    </w:p>
    <w:p w14:paraId="59EAB885" w14:textId="77777777" w:rsidR="00B1013F" w:rsidRDefault="00B1013F" w:rsidP="00B1013F">
      <w:pPr>
        <w:pStyle w:val="MainText"/>
      </w:pPr>
      <w:r w:rsidRPr="00A949C6">
        <w:rPr>
          <w:vertAlign w:val="superscript"/>
        </w:rPr>
        <w:t>‡</w:t>
      </w:r>
      <w:r w:rsidRPr="005609F6">
        <w:t xml:space="preserve"> </w:t>
      </w:r>
      <w:r>
        <w:t>Equal contributors</w:t>
      </w:r>
    </w:p>
    <w:p w14:paraId="795DA130" w14:textId="3961F2E4" w:rsidR="009815E9" w:rsidRDefault="009815E9"/>
    <w:p w14:paraId="7DAFEE37" w14:textId="6152A891" w:rsidR="00B1013F" w:rsidRDefault="00B1013F"/>
    <w:p w14:paraId="64399BB9" w14:textId="77777777" w:rsidR="00B1013F" w:rsidRDefault="00B1013F" w:rsidP="00B1013F">
      <w:pPr>
        <w:pStyle w:val="MainText"/>
      </w:pPr>
      <w:r>
        <w:t xml:space="preserve">Table S1. Chemical shifts of </w:t>
      </w:r>
      <w:r w:rsidRPr="00240EB1">
        <w:rPr>
          <w:lang w:bidi="en-US"/>
        </w:rPr>
        <w:t>QA-6S-C6-ACD</w:t>
      </w:r>
      <w:r>
        <w:rPr>
          <w:lang w:bidi="en-US"/>
        </w:rPr>
        <w:t xml:space="preserve"> in </w:t>
      </w:r>
      <w:r w:rsidRPr="00C80970">
        <w:rPr>
          <w:bCs/>
          <w:vertAlign w:val="superscript"/>
          <w:lang w:bidi="en-US"/>
        </w:rPr>
        <w:t>1</w:t>
      </w:r>
      <w:r w:rsidRPr="00C80970">
        <w:rPr>
          <w:bCs/>
          <w:lang w:bidi="en-US"/>
        </w:rPr>
        <w:t>H</w:t>
      </w:r>
      <w:r>
        <w:rPr>
          <w:b/>
          <w:lang w:bidi="en-US"/>
        </w:rPr>
        <w:t xml:space="preserve"> </w:t>
      </w:r>
      <w:r w:rsidRPr="00240EB1">
        <w:rPr>
          <w:lang w:bidi="en-US"/>
        </w:rPr>
        <w:t xml:space="preserve">NMR spectrum </w:t>
      </w:r>
      <w:r>
        <w:rPr>
          <w:lang w:bidi="en-US"/>
        </w:rPr>
        <w:t>(D</w:t>
      </w:r>
      <w:r w:rsidRPr="00D62432">
        <w:rPr>
          <w:vertAlign w:val="subscript"/>
          <w:lang w:bidi="en-US"/>
        </w:rPr>
        <w:t>2</w:t>
      </w:r>
      <w:r>
        <w:rPr>
          <w:lang w:bidi="en-US"/>
        </w:rPr>
        <w:t>O, 600 MHz)</w:t>
      </w:r>
    </w:p>
    <w:tbl>
      <w:tblPr>
        <w:tblW w:w="4206" w:type="pct"/>
        <w:tblLook w:val="01E0" w:firstRow="1" w:lastRow="1" w:firstColumn="1" w:lastColumn="1" w:noHBand="0" w:noVBand="0"/>
      </w:tblPr>
      <w:tblGrid>
        <w:gridCol w:w="1850"/>
        <w:gridCol w:w="5781"/>
      </w:tblGrid>
      <w:tr w:rsidR="00B1013F" w:rsidRPr="00B4537B" w14:paraId="4446C605" w14:textId="77777777" w:rsidTr="00B65BD3">
        <w:trPr>
          <w:trHeight w:hRule="exact" w:val="340"/>
        </w:trPr>
        <w:tc>
          <w:tcPr>
            <w:tcW w:w="1212" w:type="pct"/>
            <w:shd w:val="clear" w:color="auto" w:fill="BFBFBF"/>
          </w:tcPr>
          <w:p w14:paraId="1117E918" w14:textId="77777777" w:rsidR="00B1013F" w:rsidRPr="00B4537B" w:rsidRDefault="00B1013F" w:rsidP="00B65BD3">
            <w:pPr>
              <w:rPr>
                <w:rFonts w:ascii="Times New Roman" w:hAnsi="Times New Roman" w:cs="Times New Roman"/>
                <w:b/>
              </w:rPr>
            </w:pPr>
            <w:r w:rsidRPr="00B4537B">
              <w:rPr>
                <w:rFonts w:ascii="Times New Roman" w:hAnsi="Times New Roman" w:cs="Times New Roman"/>
                <w:b/>
              </w:rPr>
              <w:sym w:font="Symbol" w:char="F064"/>
            </w:r>
            <w:r w:rsidRPr="00B4537B">
              <w:rPr>
                <w:rFonts w:ascii="Times New Roman" w:hAnsi="Times New Roman" w:cs="Times New Roman"/>
                <w:b/>
              </w:rPr>
              <w:t xml:space="preserve"> (ppm)</w:t>
            </w:r>
          </w:p>
        </w:tc>
        <w:tc>
          <w:tcPr>
            <w:tcW w:w="3788" w:type="pct"/>
            <w:shd w:val="clear" w:color="auto" w:fill="BFBFBF"/>
          </w:tcPr>
          <w:p w14:paraId="5D55EBE0" w14:textId="77777777" w:rsidR="00B1013F" w:rsidRPr="00B4537B" w:rsidRDefault="00B1013F" w:rsidP="00B65BD3">
            <w:pPr>
              <w:rPr>
                <w:rFonts w:ascii="Times New Roman" w:hAnsi="Times New Roman" w:cs="Times New Roman"/>
                <w:b/>
              </w:rPr>
            </w:pPr>
            <w:r w:rsidRPr="00B4537B">
              <w:rPr>
                <w:rFonts w:ascii="Times New Roman" w:hAnsi="Times New Roman" w:cs="Times New Roman"/>
                <w:b/>
              </w:rPr>
              <w:t>Assignment</w:t>
            </w:r>
          </w:p>
        </w:tc>
      </w:tr>
      <w:tr w:rsidR="00B1013F" w:rsidRPr="00191074" w14:paraId="002D9B53" w14:textId="77777777" w:rsidTr="00B65BD3">
        <w:trPr>
          <w:trHeight w:hRule="exact" w:val="340"/>
        </w:trPr>
        <w:tc>
          <w:tcPr>
            <w:tcW w:w="1212" w:type="pct"/>
          </w:tcPr>
          <w:p w14:paraId="6A2778E4" w14:textId="77777777" w:rsidR="00B1013F" w:rsidRDefault="00B1013F" w:rsidP="00B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5.23-5.15</w:t>
            </w:r>
          </w:p>
        </w:tc>
        <w:tc>
          <w:tcPr>
            <w:tcW w:w="3788" w:type="pct"/>
          </w:tcPr>
          <w:p w14:paraId="0755C32F" w14:textId="77777777" w:rsidR="00B1013F" w:rsidRPr="00C316D6" w:rsidRDefault="00B1013F" w:rsidP="00B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(m, 7H, H1, H1’</w:t>
            </w:r>
          </w:p>
        </w:tc>
      </w:tr>
      <w:tr w:rsidR="00B1013F" w:rsidRPr="00191074" w14:paraId="51127D5A" w14:textId="77777777" w:rsidTr="00B65BD3">
        <w:trPr>
          <w:trHeight w:hRule="exact" w:val="340"/>
        </w:trPr>
        <w:tc>
          <w:tcPr>
            <w:tcW w:w="1212" w:type="pct"/>
          </w:tcPr>
          <w:p w14:paraId="70AC69EF" w14:textId="77777777" w:rsidR="00B1013F" w:rsidRPr="00C316D6" w:rsidRDefault="00B1013F" w:rsidP="00B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3788" w:type="pct"/>
          </w:tcPr>
          <w:p w14:paraId="2168EB2A" w14:textId="77777777" w:rsidR="00B1013F" w:rsidRPr="00C316D6" w:rsidRDefault="00B1013F" w:rsidP="00B65BD3">
            <w:pPr>
              <w:rPr>
                <w:rFonts w:ascii="Times New Roman" w:hAnsi="Times New Roman" w:cs="Times New Roman"/>
              </w:rPr>
            </w:pPr>
            <w:r w:rsidRPr="00C316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s</w:t>
            </w:r>
            <w:r w:rsidRPr="00C316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2.7</w:t>
            </w:r>
            <w:r w:rsidRPr="00C316D6">
              <w:rPr>
                <w:rFonts w:ascii="Times New Roman" w:hAnsi="Times New Roman" w:cs="Times New Roman"/>
              </w:rPr>
              <w:t>H,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6D6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14</w:t>
            </w:r>
            <w:r w:rsidRPr="00C316D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B1013F" w:rsidRPr="00191074" w14:paraId="468425D7" w14:textId="77777777" w:rsidTr="00B65BD3">
        <w:trPr>
          <w:trHeight w:hRule="exact" w:val="340"/>
        </w:trPr>
        <w:tc>
          <w:tcPr>
            <w:tcW w:w="1212" w:type="pct"/>
          </w:tcPr>
          <w:p w14:paraId="4D5FD065" w14:textId="77777777" w:rsidR="00B1013F" w:rsidRDefault="00B1013F" w:rsidP="00B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4.12–3.43</w:t>
            </w:r>
          </w:p>
        </w:tc>
        <w:tc>
          <w:tcPr>
            <w:tcW w:w="3788" w:type="pct"/>
          </w:tcPr>
          <w:p w14:paraId="6FCA7F57" w14:textId="77777777" w:rsidR="00B1013F" w:rsidRPr="00C316D6" w:rsidRDefault="00B1013F" w:rsidP="00B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(m, 52H, H2, H3, H4, H5, H6, H6’, H7, H13, H15);</w:t>
            </w:r>
          </w:p>
        </w:tc>
      </w:tr>
      <w:tr w:rsidR="00B1013F" w:rsidRPr="00191074" w14:paraId="46348491" w14:textId="77777777" w:rsidTr="00B65BD3">
        <w:trPr>
          <w:trHeight w:hRule="exact" w:val="340"/>
        </w:trPr>
        <w:tc>
          <w:tcPr>
            <w:tcW w:w="1212" w:type="pct"/>
          </w:tcPr>
          <w:p w14:paraId="56AC7F0C" w14:textId="77777777" w:rsidR="00B1013F" w:rsidRDefault="00B1013F" w:rsidP="00B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3788" w:type="pct"/>
          </w:tcPr>
          <w:p w14:paraId="3292D650" w14:textId="77777777" w:rsidR="00B1013F" w:rsidRDefault="00B1013F" w:rsidP="00B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(s, 28.4H, H16, H17, H18);</w:t>
            </w:r>
          </w:p>
        </w:tc>
      </w:tr>
      <w:tr w:rsidR="00B1013F" w:rsidRPr="00191074" w14:paraId="2E563900" w14:textId="77777777" w:rsidTr="00B65BD3">
        <w:trPr>
          <w:trHeight w:hRule="exact" w:val="340"/>
        </w:trPr>
        <w:tc>
          <w:tcPr>
            <w:tcW w:w="1212" w:type="pct"/>
          </w:tcPr>
          <w:p w14:paraId="67CE8FC8" w14:textId="77777777" w:rsidR="00B1013F" w:rsidRDefault="00B1013F" w:rsidP="00B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1.6-1.3</w:t>
            </w:r>
          </w:p>
        </w:tc>
        <w:tc>
          <w:tcPr>
            <w:tcW w:w="3788" w:type="pct"/>
          </w:tcPr>
          <w:p w14:paraId="7A6ED514" w14:textId="77777777" w:rsidR="00B1013F" w:rsidRDefault="00B1013F" w:rsidP="00B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(m, 8H, H8, H9, H10, H11);</w:t>
            </w:r>
          </w:p>
          <w:p w14:paraId="08F14FEA" w14:textId="77777777" w:rsidR="00B1013F" w:rsidRDefault="00B1013F" w:rsidP="00B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14:paraId="2C9369FF" w14:textId="77777777" w:rsidR="00B1013F" w:rsidRDefault="00B1013F" w:rsidP="00B65BD3">
            <w:pPr>
              <w:rPr>
                <w:rFonts w:ascii="Times New Roman" w:hAnsi="Times New Roman" w:cs="Times New Roman"/>
              </w:rPr>
            </w:pPr>
          </w:p>
        </w:tc>
      </w:tr>
      <w:tr w:rsidR="00B1013F" w:rsidRPr="00191074" w14:paraId="7E345082" w14:textId="77777777" w:rsidTr="00B65BD3">
        <w:trPr>
          <w:trHeight w:hRule="exact" w:val="340"/>
        </w:trPr>
        <w:tc>
          <w:tcPr>
            <w:tcW w:w="1212" w:type="pct"/>
          </w:tcPr>
          <w:p w14:paraId="3CD574EA" w14:textId="77777777" w:rsidR="00B1013F" w:rsidRDefault="00B1013F" w:rsidP="00B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3788" w:type="pct"/>
          </w:tcPr>
          <w:p w14:paraId="63F30C86" w14:textId="77777777" w:rsidR="00B1013F" w:rsidRDefault="00B1013F" w:rsidP="00B6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(t, 3H, H12).</w:t>
            </w:r>
          </w:p>
        </w:tc>
      </w:tr>
    </w:tbl>
    <w:p w14:paraId="3B19B4CB" w14:textId="77777777" w:rsidR="00B1013F" w:rsidRDefault="00B1013F"/>
    <w:sectPr w:rsidR="00B1013F" w:rsidSect="001F6AE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3F"/>
    <w:rsid w:val="001F6AE8"/>
    <w:rsid w:val="009815E9"/>
    <w:rsid w:val="00B1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CF36"/>
  <w15:chartTrackingRefBased/>
  <w15:docId w15:val="{89967245-380C-4E40-B359-23F3F48C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013F"/>
    <w:pPr>
      <w:spacing w:after="0" w:line="480" w:lineRule="auto"/>
      <w:jc w:val="both"/>
    </w:pPr>
    <w:rPr>
      <w:rFonts w:ascii="Arial" w:hAnsi="Arial" w:cs="Arial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ainText">
    <w:name w:val="Main Text"/>
    <w:basedOn w:val="Norml"/>
    <w:rsid w:val="00B1013F"/>
    <w:rPr>
      <w:lang w:val="en-GB"/>
    </w:rPr>
  </w:style>
  <w:style w:type="character" w:styleId="Hiperhivatkozs">
    <w:name w:val="Hyperlink"/>
    <w:basedOn w:val="Bekezdsalapbettpusa"/>
    <w:uiPriority w:val="99"/>
    <w:unhideWhenUsed/>
    <w:rsid w:val="00B101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nyvesi.e@cyclola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828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Fenyvesi Éva</dc:creator>
  <cp:keywords/>
  <dc:description/>
  <cp:lastModifiedBy>Fenyvesi Éva</cp:lastModifiedBy>
  <cp:revision>1</cp:revision>
  <dcterms:created xsi:type="dcterms:W3CDTF">2022-12-31T14:27:00Z</dcterms:created>
  <dcterms:modified xsi:type="dcterms:W3CDTF">2022-12-31T14:30:00Z</dcterms:modified>
</cp:coreProperties>
</file>